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70" w:rightChars="224"/>
        <w:rPr>
          <w:rFonts w:hint="eastAsia" w:asciiTheme="majorEastAsia" w:hAnsiTheme="majorEastAsia" w:eastAsiaTheme="majorEastAsia"/>
          <w:b/>
          <w:bCs/>
        </w:rPr>
      </w:pPr>
    </w:p>
    <w:p>
      <w:pPr>
        <w:ind w:left="321" w:leftChars="153" w:right="227"/>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u w:val="single"/>
        </w:rPr>
        <w:t>教育学</w:t>
      </w:r>
      <w:r>
        <w:rPr>
          <w:rFonts w:hint="eastAsia" w:asciiTheme="majorEastAsia" w:hAnsiTheme="majorEastAsia" w:eastAsiaTheme="majorEastAsia"/>
          <w:b/>
          <w:bCs/>
          <w:sz w:val="36"/>
          <w:szCs w:val="36"/>
        </w:rPr>
        <w:t>学术学位博士研究生培养方案</w:t>
      </w:r>
    </w:p>
    <w:p>
      <w:pPr>
        <w:ind w:left="321" w:leftChars="153" w:right="227"/>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（教育学院</w:t>
      </w:r>
      <w:r>
        <w:rPr>
          <w:rFonts w:asciiTheme="majorEastAsia" w:hAnsiTheme="majorEastAsia" w:eastAsiaTheme="majorEastAsia"/>
          <w:b/>
          <w:bCs/>
          <w:sz w:val="28"/>
          <w:szCs w:val="28"/>
        </w:rPr>
        <w:t>)</w:t>
      </w:r>
    </w:p>
    <w:p>
      <w:pPr>
        <w:spacing w:line="440" w:lineRule="exact"/>
        <w:ind w:firstLine="560" w:firstLineChars="200"/>
        <w:rPr>
          <w:rFonts w:asciiTheme="minorEastAsia" w:hAnsiTheme="minorEastAsia" w:eastAsiaTheme="minorEastAsia"/>
          <w:i/>
          <w:color w:val="FF0000"/>
          <w:sz w:val="28"/>
          <w:szCs w:val="28"/>
        </w:rPr>
      </w:pPr>
    </w:p>
    <w:p>
      <w:pPr>
        <w:spacing w:before="156" w:beforeLines="50" w:line="360" w:lineRule="auto"/>
        <w:ind w:firstLine="560" w:firstLineChars="200"/>
        <w:rPr>
          <w:rFonts w:hint="eastAsia" w:eastAsia="黑体"/>
          <w:bCs/>
          <w:sz w:val="28"/>
          <w:szCs w:val="28"/>
        </w:rPr>
      </w:pPr>
      <w:r>
        <w:rPr>
          <w:rFonts w:hint="eastAsia" w:eastAsia="黑体"/>
          <w:bCs/>
          <w:sz w:val="28"/>
          <w:szCs w:val="28"/>
        </w:rPr>
        <w:t>一、学科简介</w:t>
      </w:r>
    </w:p>
    <w:p>
      <w:pPr>
        <w:spacing w:line="440" w:lineRule="exact"/>
        <w:ind w:firstLine="480" w:firstLineChars="200"/>
        <w:rPr>
          <w:color w:val="000000" w:themeColor="text1"/>
          <w:sz w:val="24"/>
        </w:rPr>
      </w:pPr>
      <w:r>
        <w:rPr>
          <w:rFonts w:hint="eastAsia"/>
          <w:color w:val="000000" w:themeColor="text1"/>
          <w:sz w:val="24"/>
        </w:rPr>
        <w:t>教育学学术学位博士是高等学校根据国家和地区经济与社会发展对教育学类人才培养的需求提出申请，经教育部审核批准而设置的博士研究生专业门类，旨在</w:t>
      </w:r>
      <w:r>
        <w:rPr>
          <w:rFonts w:hint="eastAsia" w:ascii="宋体" w:hAnsi="宋体"/>
          <w:color w:val="000000" w:themeColor="text1"/>
          <w:sz w:val="24"/>
        </w:rPr>
        <w:t>培养适应国家和地方社会经济发展需要的高层次教育学学术研究专门人才。</w:t>
      </w:r>
      <w:r>
        <w:rPr>
          <w:rFonts w:hint="eastAsia"/>
          <w:color w:val="000000" w:themeColor="text1"/>
          <w:sz w:val="24"/>
        </w:rPr>
        <w:t>教育学学科专业代码为0401，可授教育学博士学位。</w:t>
      </w:r>
    </w:p>
    <w:p>
      <w:pPr>
        <w:spacing w:line="440" w:lineRule="exact"/>
        <w:ind w:firstLine="480" w:firstLineChars="200"/>
        <w:rPr>
          <w:color w:val="000000" w:themeColor="text1"/>
          <w:sz w:val="24"/>
        </w:rPr>
      </w:pPr>
      <w:r>
        <w:rPr>
          <w:rFonts w:hint="eastAsia"/>
          <w:color w:val="000000" w:themeColor="text1"/>
          <w:sz w:val="24"/>
        </w:rPr>
        <w:t>河北大学教育学院是国内较早开展教育学学术学位博士人才培养的院校。</w:t>
      </w:r>
      <w:r>
        <w:rPr>
          <w:color w:val="000000" w:themeColor="text1"/>
          <w:sz w:val="24"/>
        </w:rPr>
        <w:t>1986</w:t>
      </w:r>
      <w:r>
        <w:rPr>
          <w:rFonts w:hint="eastAsia"/>
          <w:color w:val="000000" w:themeColor="text1"/>
          <w:sz w:val="24"/>
        </w:rPr>
        <w:t>年，获批全国第一个外国教育史专业博士点；</w:t>
      </w:r>
      <w:r>
        <w:rPr>
          <w:color w:val="000000" w:themeColor="text1"/>
          <w:sz w:val="24"/>
        </w:rPr>
        <w:t>2007</w:t>
      </w:r>
      <w:r>
        <w:rPr>
          <w:rFonts w:hint="eastAsia"/>
          <w:color w:val="000000" w:themeColor="text1"/>
          <w:sz w:val="24"/>
        </w:rPr>
        <w:t>年建成教育学一级学科博士后科研流动站；</w:t>
      </w:r>
      <w:r>
        <w:rPr>
          <w:color w:val="000000" w:themeColor="text1"/>
          <w:sz w:val="24"/>
        </w:rPr>
        <w:t xml:space="preserve"> 2018</w:t>
      </w:r>
      <w:r>
        <w:rPr>
          <w:rFonts w:hint="eastAsia"/>
          <w:color w:val="000000" w:themeColor="text1"/>
          <w:sz w:val="24"/>
        </w:rPr>
        <w:t>年获批教育学一级学科博士学位授予权。在欧美教育史、日本教育史、中国教育史、比较教育学、高等教育学、教育学原理等方向形成鲜明的学科特色。</w:t>
      </w:r>
    </w:p>
    <w:p>
      <w:pPr>
        <w:spacing w:before="156" w:beforeLines="50" w:line="360" w:lineRule="auto"/>
        <w:ind w:firstLine="560" w:firstLineChars="200"/>
        <w:rPr>
          <w:rFonts w:hint="eastAsia" w:eastAsia="黑体"/>
          <w:bCs/>
          <w:sz w:val="28"/>
          <w:szCs w:val="28"/>
        </w:rPr>
      </w:pPr>
      <w:r>
        <w:rPr>
          <w:rFonts w:hint="eastAsia" w:eastAsia="黑体"/>
          <w:bCs/>
          <w:sz w:val="28"/>
          <w:szCs w:val="28"/>
        </w:rPr>
        <w:t>二、研究方向</w:t>
      </w:r>
    </w:p>
    <w:p>
      <w:pPr>
        <w:spacing w:line="360" w:lineRule="auto"/>
        <w:ind w:firstLine="480" w:firstLineChars="200"/>
        <w:rPr>
          <w:rFonts w:ascii="宋体" w:hAnsi="宋体"/>
          <w:color w:val="000000"/>
          <w:sz w:val="24"/>
        </w:rPr>
      </w:pPr>
      <w:r>
        <w:rPr>
          <w:rFonts w:hint="eastAsia" w:ascii="宋体" w:hAnsi="宋体"/>
          <w:color w:val="000000"/>
          <w:sz w:val="24"/>
        </w:rPr>
        <w:t>本学科目前设有教育学原理、教育史、比较教育学</w:t>
      </w:r>
      <w:r>
        <w:rPr>
          <w:rFonts w:hint="eastAsia" w:ascii="宋体" w:hAnsi="宋体"/>
          <w:color w:val="000000"/>
          <w:sz w:val="24"/>
          <w:lang w:eastAsia="zh-CN"/>
        </w:rPr>
        <w:t>、</w:t>
      </w:r>
      <w:r>
        <w:rPr>
          <w:rFonts w:hint="eastAsia" w:ascii="宋体" w:hAnsi="宋体"/>
          <w:color w:val="000000"/>
          <w:sz w:val="24"/>
        </w:rPr>
        <w:t>高等教育学</w:t>
      </w:r>
      <w:r>
        <w:rPr>
          <w:rFonts w:hint="eastAsia" w:ascii="宋体" w:hAnsi="宋体"/>
          <w:color w:val="000000"/>
          <w:sz w:val="24"/>
          <w:lang w:eastAsia="zh-CN"/>
        </w:rPr>
        <w:t>、</w:t>
      </w:r>
      <w:r>
        <w:rPr>
          <w:rFonts w:hint="eastAsia" w:ascii="宋体" w:hAnsi="宋体"/>
          <w:color w:val="000000"/>
          <w:sz w:val="24"/>
          <w:lang w:val="en-US" w:eastAsia="zh-CN"/>
        </w:rPr>
        <w:t>教育心理与学生发展等5</w:t>
      </w:r>
      <w:r>
        <w:rPr>
          <w:rFonts w:hint="eastAsia" w:ascii="宋体" w:hAnsi="宋体"/>
          <w:color w:val="000000"/>
          <w:sz w:val="24"/>
        </w:rPr>
        <w:t>个二级学科研究方向。</w:t>
      </w:r>
    </w:p>
    <w:p>
      <w:pPr>
        <w:pStyle w:val="24"/>
        <w:numPr>
          <w:ilvl w:val="0"/>
          <w:numId w:val="1"/>
        </w:numPr>
        <w:spacing w:line="360" w:lineRule="auto"/>
        <w:ind w:firstLineChars="0"/>
        <w:rPr>
          <w:rFonts w:ascii="宋体" w:hAnsi="宋体"/>
          <w:b/>
          <w:bCs/>
          <w:color w:val="000000"/>
          <w:sz w:val="24"/>
        </w:rPr>
      </w:pPr>
      <w:r>
        <w:rPr>
          <w:rFonts w:hint="eastAsia" w:ascii="宋体" w:hAnsi="宋体"/>
          <w:b/>
          <w:bCs/>
          <w:color w:val="000000"/>
          <w:sz w:val="24"/>
        </w:rPr>
        <w:t>教育学原理（040101）</w:t>
      </w:r>
    </w:p>
    <w:p>
      <w:pPr>
        <w:spacing w:line="360" w:lineRule="auto"/>
        <w:ind w:firstLine="480" w:firstLineChars="200"/>
        <w:rPr>
          <w:rFonts w:hint="eastAsia" w:ascii="宋体" w:hAnsi="宋体"/>
          <w:b/>
          <w:bCs/>
          <w:color w:val="000000"/>
          <w:sz w:val="24"/>
        </w:rPr>
      </w:pPr>
      <w:r>
        <w:rPr>
          <w:rFonts w:hint="eastAsia"/>
          <w:color w:val="000000" w:themeColor="text1"/>
          <w:sz w:val="24"/>
        </w:rPr>
        <w:t>教育学原理专业旨在培养掌握教育学原理学科坚实的基础理论和系统的专门知识与技能，具有从事教育学教学工作和独立开展教育科学研究能力的博士研究生。本培养方向包括教育学基本理论、教育管理、教育经济、课程与教学论4个研究方向。</w:t>
      </w:r>
      <w:r>
        <w:rPr>
          <w:rFonts w:hint="eastAsia"/>
          <w:color w:val="000000"/>
          <w:sz w:val="24"/>
        </w:rPr>
        <w:t>这4个研究方向在内容和结构组织上既相互独立，又相互交叉和补充，着力体现教育学原理专业的系统完整性和发展创新性。</w:t>
      </w:r>
    </w:p>
    <w:p>
      <w:pPr>
        <w:spacing w:line="360" w:lineRule="auto"/>
        <w:ind w:firstLine="482" w:firstLineChars="200"/>
        <w:rPr>
          <w:rFonts w:ascii="宋体" w:hAnsi="宋体"/>
          <w:b/>
          <w:bCs/>
          <w:color w:val="000000"/>
          <w:sz w:val="24"/>
        </w:rPr>
      </w:pPr>
      <w:r>
        <w:rPr>
          <w:rFonts w:hint="eastAsia" w:ascii="宋体" w:hAnsi="宋体"/>
          <w:b/>
          <w:bCs/>
          <w:color w:val="000000"/>
          <w:sz w:val="24"/>
        </w:rPr>
        <w:t>（二）教育史（040103）</w:t>
      </w:r>
    </w:p>
    <w:p>
      <w:pPr>
        <w:spacing w:line="360" w:lineRule="auto"/>
        <w:ind w:firstLine="480" w:firstLineChars="200"/>
        <w:rPr>
          <w:rFonts w:ascii="宋体" w:hAnsi="宋体"/>
          <w:color w:val="000000"/>
          <w:sz w:val="24"/>
        </w:rPr>
      </w:pPr>
      <w:r>
        <w:rPr>
          <w:rFonts w:hint="eastAsia" w:ascii="宋体" w:hAnsi="宋体"/>
          <w:color w:val="000000"/>
          <w:sz w:val="24"/>
        </w:rPr>
        <w:t>从198</w:t>
      </w:r>
      <w:r>
        <w:rPr>
          <w:rFonts w:ascii="宋体" w:hAnsi="宋体"/>
          <w:color w:val="000000"/>
          <w:sz w:val="24"/>
        </w:rPr>
        <w:t>6</w:t>
      </w:r>
      <w:r>
        <w:rPr>
          <w:rFonts w:hint="eastAsia" w:ascii="宋体" w:hAnsi="宋体"/>
          <w:color w:val="000000"/>
          <w:sz w:val="24"/>
        </w:rPr>
        <w:t>年获得博士学位授予权以来，教育史学科在保持传统优势研究方向的基础上，积极开拓新的研究领域。目前开设有欧美教育史、日本教育史和中国教育史三个具体的研究方向。</w:t>
      </w:r>
    </w:p>
    <w:p>
      <w:pPr>
        <w:spacing w:line="360" w:lineRule="auto"/>
        <w:ind w:firstLine="480" w:firstLineChars="200"/>
        <w:rPr>
          <w:rFonts w:ascii="宋体" w:hAnsi="宋体"/>
          <w:color w:val="000000"/>
          <w:sz w:val="24"/>
        </w:rPr>
      </w:pPr>
      <w:r>
        <w:rPr>
          <w:rFonts w:hint="eastAsia" w:ascii="宋体" w:hAnsi="宋体"/>
          <w:color w:val="000000"/>
          <w:sz w:val="24"/>
        </w:rPr>
        <w:t>1．欧美教育史</w:t>
      </w:r>
    </w:p>
    <w:p>
      <w:pPr>
        <w:spacing w:line="360" w:lineRule="auto"/>
        <w:ind w:firstLine="480" w:firstLineChars="200"/>
        <w:rPr>
          <w:rFonts w:ascii="宋体" w:hAnsi="宋体"/>
          <w:color w:val="000000"/>
          <w:sz w:val="24"/>
        </w:rPr>
      </w:pPr>
      <w:r>
        <w:rPr>
          <w:rFonts w:hint="eastAsia" w:ascii="宋体" w:hAnsi="宋体"/>
          <w:color w:val="000000"/>
          <w:sz w:val="24"/>
        </w:rPr>
        <w:t>本方向旨在通过系统、全面地研究欧美主要国家历史发展各阶段的教育实践活动和教育思想，探究教育发展变化的规律。研究内容大体可分为教育实际（教育制度）和教育思想（教育理论）两个方面。本方向在美国教育史及外国高等教育史、外国职业教育史等领域的研究有较扎实的基础和较大的学术影响。</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、日本教育史</w:t>
      </w:r>
    </w:p>
    <w:p>
      <w:pPr>
        <w:spacing w:line="360" w:lineRule="auto"/>
        <w:ind w:firstLine="480" w:firstLineChars="200"/>
        <w:rPr>
          <w:rFonts w:ascii="宋体" w:hAnsi="宋体"/>
          <w:color w:val="000000"/>
          <w:sz w:val="24"/>
        </w:rPr>
      </w:pPr>
      <w:r>
        <w:rPr>
          <w:rFonts w:hint="eastAsia" w:ascii="宋体" w:hAnsi="宋体"/>
          <w:color w:val="000000"/>
          <w:sz w:val="24"/>
        </w:rPr>
        <w:t>本方向以日本历史上的教育现象为研究对象，旨在通过对日本教育制度的确立和变革、教育思想发展和演变历史的研究，探究在日本特殊的社会经济、政治、文化环境下，教育发展的特殊规律和不同历史时期教育的阶段性特征。本方向日本职业教育史、近现代教育改革史等领域积累了较为丰富的成果，产生了较大的学术影响。</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、中国教育史</w:t>
      </w:r>
    </w:p>
    <w:p>
      <w:pPr>
        <w:spacing w:line="360" w:lineRule="auto"/>
        <w:ind w:firstLine="480" w:firstLineChars="200"/>
        <w:rPr>
          <w:rFonts w:ascii="宋体" w:hAnsi="宋体"/>
          <w:color w:val="000000"/>
          <w:sz w:val="24"/>
        </w:rPr>
      </w:pPr>
      <w:r>
        <w:rPr>
          <w:rFonts w:hint="eastAsia" w:ascii="宋体" w:hAnsi="宋体"/>
          <w:color w:val="000000"/>
          <w:sz w:val="24"/>
        </w:rPr>
        <w:t>中国教育史通过研究中国教育制度、教育思想的发展演变的历史，探究中国教育发展的规律和不同历史时期教育发展的特殊性。研究内容大体包括：历朝历代文教政策及教育制度；中国著名教育家、教育流派、教育改革运动；中国各级各类教育的建立和发展历史，如初等、中等、高等、师范教育史等。近年来，本方向在中国近现代职业教育史、中小学教材史、民国大学史、中国传统文化与教育、区域教育史等领域形成了较为稳定的研究特色。</w:t>
      </w:r>
    </w:p>
    <w:p>
      <w:pPr>
        <w:spacing w:line="360" w:lineRule="auto"/>
        <w:ind w:firstLine="482" w:firstLineChars="200"/>
        <w:rPr>
          <w:rFonts w:ascii="宋体" w:hAnsi="宋体"/>
          <w:b/>
          <w:bCs/>
          <w:color w:val="000000"/>
          <w:sz w:val="24"/>
        </w:rPr>
      </w:pPr>
      <w:r>
        <w:rPr>
          <w:rFonts w:hint="eastAsia" w:ascii="宋体" w:hAnsi="宋体"/>
          <w:b/>
          <w:bCs/>
          <w:color w:val="000000"/>
          <w:sz w:val="24"/>
        </w:rPr>
        <w:t>（三）比较教育学（040104）</w:t>
      </w:r>
    </w:p>
    <w:p>
      <w:pPr>
        <w:spacing w:line="360" w:lineRule="auto"/>
        <w:ind w:firstLine="480" w:firstLineChars="200"/>
        <w:rPr>
          <w:rFonts w:ascii="宋体" w:hAnsi="宋体"/>
          <w:sz w:val="24"/>
        </w:rPr>
      </w:pPr>
      <w:r>
        <w:rPr>
          <w:rFonts w:hint="eastAsia"/>
          <w:sz w:val="24"/>
        </w:rPr>
        <w:t>本学科秉承“国际视野，本土行动”的基本理念，以全球教育为研究对象，对当代不同国家或地区的教育进行跨文化比较研究，以探讨教育发展的普遍规律及特定表现形式，借鉴国外教育发展的有益经验，推动本国和地区的教育研究和改革。在比较教育学科理论、中外高等教育比较、课程与教学比较等专题比较以及中美、中日、中英教育等国别教育比较方面积累了大量研究成果，形成了学科优势与特色。在已有的研究基础上，本学科点设置了</w:t>
      </w:r>
      <w:r>
        <w:rPr>
          <w:rFonts w:hint="eastAsia"/>
          <w:sz w:val="24"/>
          <w:lang w:val="en-US" w:eastAsia="zh-CN"/>
        </w:rPr>
        <w:t>4</w:t>
      </w:r>
      <w:r>
        <w:rPr>
          <w:rFonts w:hint="eastAsia"/>
          <w:sz w:val="24"/>
        </w:rPr>
        <w:t>个相对独立又相互交叉的研究方向。</w:t>
      </w:r>
    </w:p>
    <w:p>
      <w:pPr>
        <w:spacing w:line="360" w:lineRule="auto"/>
        <w:ind w:firstLine="480" w:firstLineChars="200"/>
        <w:rPr>
          <w:rFonts w:ascii="宋体" w:hAnsi="宋体"/>
          <w:color w:val="000000"/>
          <w:sz w:val="24"/>
        </w:rPr>
      </w:pPr>
      <w:r>
        <w:rPr>
          <w:rFonts w:hint="eastAsia" w:ascii="宋体" w:hAnsi="宋体"/>
          <w:color w:val="000000"/>
          <w:sz w:val="24"/>
        </w:rPr>
        <w:t>1、比较教育理论与政策研究</w:t>
      </w:r>
    </w:p>
    <w:p>
      <w:pPr>
        <w:spacing w:line="360" w:lineRule="auto"/>
        <w:ind w:firstLine="480" w:firstLineChars="200"/>
        <w:rPr>
          <w:rFonts w:ascii="宋体" w:hAnsi="宋体"/>
          <w:color w:val="000000"/>
          <w:sz w:val="24"/>
        </w:rPr>
      </w:pPr>
      <w:r>
        <w:rPr>
          <w:rFonts w:hint="eastAsia" w:ascii="宋体" w:hAnsi="宋体"/>
          <w:color w:val="000000"/>
          <w:sz w:val="24"/>
        </w:rPr>
        <w:t>本方向以比较教育学的学科基础理论及各国教育政策为研究对象，了解国内外比较教育学科的发展现状，掌握比较教育学科基本研究范式、各国教育政策及改革的趋势，教育社会学对比较教育的影响等，形成运用比较教育基础理论分析问题和解决问题的能力。在比较教育思想研究、比较教育研究方法、各国教育改革和比较教育社会形态类型研究等领域形成了显著特色。</w:t>
      </w:r>
    </w:p>
    <w:p>
      <w:pPr>
        <w:spacing w:line="360" w:lineRule="auto"/>
        <w:ind w:firstLine="480" w:firstLineChars="200"/>
        <w:rPr>
          <w:rFonts w:ascii="宋体" w:hAnsi="宋体"/>
          <w:color w:val="000000"/>
          <w:sz w:val="24"/>
        </w:rPr>
      </w:pPr>
      <w:r>
        <w:rPr>
          <w:rFonts w:hint="eastAsia" w:ascii="宋体" w:hAnsi="宋体"/>
          <w:color w:val="000000"/>
          <w:sz w:val="24"/>
        </w:rPr>
        <w:t>2、高等教育比较研究</w:t>
      </w:r>
    </w:p>
    <w:p>
      <w:pPr>
        <w:spacing w:line="360" w:lineRule="auto"/>
        <w:ind w:firstLine="480" w:firstLineChars="200"/>
        <w:rPr>
          <w:rFonts w:ascii="宋体" w:hAnsi="宋体"/>
          <w:color w:val="000000"/>
          <w:sz w:val="24"/>
        </w:rPr>
      </w:pPr>
      <w:r>
        <w:rPr>
          <w:rFonts w:hint="eastAsia" w:ascii="宋体" w:hAnsi="宋体"/>
          <w:color w:val="000000"/>
          <w:sz w:val="24"/>
        </w:rPr>
        <w:t>本方向以当前高等教育发达且在国际上有重要影响的国家为研究对象，掌握当前国际高等教育的发展现状及未来趋势，比较国家间高等教育的异同，了解各国高等教育差异的成因，并借鉴国外发达国家高等教育经验，结合实际促进我国高等教育发展。在高等教育治理和研究生教育比较等领域形成了明显的研究特色。</w:t>
      </w:r>
    </w:p>
    <w:p>
      <w:pPr>
        <w:spacing w:line="360" w:lineRule="auto"/>
        <w:ind w:firstLine="480" w:firstLineChars="200"/>
        <w:rPr>
          <w:rFonts w:ascii="宋体" w:hAnsi="宋体"/>
          <w:color w:val="000000"/>
          <w:sz w:val="24"/>
        </w:rPr>
      </w:pPr>
      <w:r>
        <w:rPr>
          <w:rFonts w:hint="eastAsia" w:ascii="宋体" w:hAnsi="宋体"/>
          <w:color w:val="000000"/>
          <w:sz w:val="24"/>
        </w:rPr>
        <w:t>3、成人与职业教育比较研究</w:t>
      </w:r>
    </w:p>
    <w:p>
      <w:pPr>
        <w:spacing w:line="360" w:lineRule="auto"/>
        <w:ind w:firstLine="480" w:firstLineChars="200"/>
        <w:rPr>
          <w:rFonts w:ascii="宋体" w:hAnsi="宋体"/>
          <w:color w:val="000000"/>
          <w:sz w:val="24"/>
        </w:rPr>
      </w:pPr>
      <w:r>
        <w:rPr>
          <w:rFonts w:hint="eastAsia" w:ascii="宋体" w:hAnsi="宋体"/>
          <w:color w:val="000000"/>
          <w:sz w:val="24"/>
        </w:rPr>
        <w:t>本方向以当前成人教育和职业教育在国际上具有重要影响的国家为研究对象，掌握当前国际成人教育和职业教育的发展现状及未来趋势，比较国家间成人教育和职业教育的异同，了解各国成人教育和职业教育差异的成因，并借鉴国外发达国家成人教育和职业教育的成功经验，结合实际促进我国成人教育和职业教育的发展。在成人学习理论、成人职业教育、职业高等教育等方面形成了鲜明的研究特色。</w:t>
      </w:r>
    </w:p>
    <w:p>
      <w:pPr>
        <w:spacing w:line="360" w:lineRule="auto"/>
        <w:ind w:firstLine="480" w:firstLineChars="200"/>
        <w:rPr>
          <w:rFonts w:ascii="宋体" w:hAnsi="宋体"/>
          <w:color w:val="000000"/>
          <w:sz w:val="24"/>
        </w:rPr>
      </w:pPr>
      <w:r>
        <w:rPr>
          <w:rFonts w:hint="eastAsia" w:ascii="宋体" w:hAnsi="宋体"/>
          <w:color w:val="000000"/>
          <w:sz w:val="24"/>
        </w:rPr>
        <w:t>4、课程与教学比较研究</w:t>
      </w:r>
    </w:p>
    <w:p>
      <w:pPr>
        <w:spacing w:line="360" w:lineRule="auto"/>
        <w:ind w:firstLine="480" w:firstLineChars="200"/>
        <w:rPr>
          <w:rFonts w:ascii="宋体" w:hAnsi="宋体"/>
          <w:color w:val="000000"/>
          <w:sz w:val="24"/>
        </w:rPr>
      </w:pPr>
      <w:r>
        <w:rPr>
          <w:rFonts w:hint="eastAsia" w:ascii="宋体" w:hAnsi="宋体"/>
          <w:color w:val="000000"/>
          <w:sz w:val="24"/>
        </w:rPr>
        <w:t>本方向以世界主要国家基础教育与高等教育领域的课程与教学为研究对象，了解其社会文化及主要课程与教学思想流派和观点，把握主要发达国家和个别发展中国家的课程与教学发展的历史与现状，探寻世界各国课程与教学发展的普遍原理。在注重文化理解的视野和创造国内的田野体验等方面形成了较强的研究特色。</w:t>
      </w:r>
    </w:p>
    <w:p>
      <w:pPr>
        <w:spacing w:line="360" w:lineRule="auto"/>
        <w:ind w:firstLine="482" w:firstLineChars="200"/>
        <w:rPr>
          <w:rFonts w:ascii="宋体" w:hAnsi="宋体"/>
          <w:b/>
          <w:bCs/>
          <w:color w:val="000000"/>
          <w:sz w:val="24"/>
        </w:rPr>
      </w:pPr>
      <w:r>
        <w:rPr>
          <w:rFonts w:hint="eastAsia" w:ascii="宋体" w:hAnsi="宋体"/>
          <w:b/>
          <w:bCs/>
          <w:color w:val="000000"/>
          <w:sz w:val="24"/>
        </w:rPr>
        <w:t>（四）高等教育学（040106）</w:t>
      </w:r>
    </w:p>
    <w:p>
      <w:pPr>
        <w:spacing w:line="360" w:lineRule="auto"/>
        <w:ind w:firstLine="480" w:firstLineChars="200"/>
        <w:rPr>
          <w:sz w:val="24"/>
        </w:rPr>
      </w:pPr>
      <w:r>
        <w:rPr>
          <w:rFonts w:hint="eastAsia"/>
          <w:sz w:val="24"/>
        </w:rPr>
        <w:t>高等教育学专业</w:t>
      </w:r>
      <w:r>
        <w:rPr>
          <w:sz w:val="24"/>
        </w:rPr>
        <w:t>是为社会主义现代化建设培养德、智、体全面发展</w:t>
      </w:r>
      <w:r>
        <w:rPr>
          <w:rFonts w:hint="eastAsia"/>
          <w:sz w:val="24"/>
        </w:rPr>
        <w:t>，</w:t>
      </w:r>
      <w:r>
        <w:rPr>
          <w:sz w:val="24"/>
        </w:rPr>
        <w:t>立志于高等教育领域从事教学、科研和管理工作的高级专门人才。</w:t>
      </w:r>
      <w:r>
        <w:rPr>
          <w:rFonts w:hint="eastAsia"/>
          <w:sz w:val="24"/>
        </w:rPr>
        <w:t>本专业博士研究生的培养着眼于掌握扎实系统的高等教育学基本理论与方法，具有宽广的教育学科和相关学科知识，有独立开展科学研究和取得创新性研究成果的能力。</w:t>
      </w:r>
    </w:p>
    <w:p>
      <w:pPr>
        <w:spacing w:line="360" w:lineRule="auto"/>
        <w:ind w:firstLine="480" w:firstLineChars="200"/>
        <w:rPr>
          <w:sz w:val="24"/>
        </w:rPr>
      </w:pPr>
      <w:r>
        <w:rPr>
          <w:rFonts w:hint="eastAsia"/>
          <w:sz w:val="24"/>
        </w:rPr>
        <w:t>通过本专业的培养，使学生：1. 具备严谨求实的治学态度、开拓创新的治学精神和良好的科研道德；2. 掌握本学科坚实宽广的基础理论和系统深入的专门知识，能够独立高等教育理论研究和实践研究；3. 在本学科或相关领域做出具有创造性的成果；4. 能胜任高等学校、科研机构及其他学术部门的教学、科研和管理工作。</w:t>
      </w:r>
    </w:p>
    <w:p>
      <w:pPr>
        <w:spacing w:line="440" w:lineRule="exact"/>
        <w:ind w:firstLine="480" w:firstLineChars="200"/>
        <w:rPr>
          <w:sz w:val="24"/>
        </w:rPr>
      </w:pPr>
      <w:r>
        <w:rPr>
          <w:rFonts w:hint="eastAsia" w:ascii="宋体" w:hAnsi="宋体"/>
          <w:color w:val="000000"/>
          <w:sz w:val="24"/>
        </w:rPr>
        <w:t>高等教育学专业目前设有</w:t>
      </w:r>
      <w:r>
        <w:rPr>
          <w:rFonts w:hint="eastAsia"/>
          <w:sz w:val="24"/>
        </w:rPr>
        <w:t>高等教育原理、高等教育组织与管理、高等教育质量监测与评估等三个研究方向。</w:t>
      </w:r>
    </w:p>
    <w:p>
      <w:pPr>
        <w:spacing w:line="360" w:lineRule="auto"/>
        <w:ind w:left="482"/>
        <w:rPr>
          <w:rFonts w:ascii="宋体" w:hAnsi="宋体"/>
          <w:b/>
          <w:bCs/>
          <w:color w:val="000000"/>
          <w:sz w:val="24"/>
        </w:rPr>
      </w:pPr>
      <w:r>
        <w:rPr>
          <w:rFonts w:hint="eastAsia" w:ascii="宋体" w:hAnsi="宋体"/>
          <w:b/>
          <w:bCs/>
          <w:color w:val="000000"/>
          <w:sz w:val="24"/>
        </w:rPr>
        <w:t>（五）教育心理与学生发展（0401Z2）</w:t>
      </w:r>
    </w:p>
    <w:p>
      <w:pPr>
        <w:spacing w:line="360" w:lineRule="auto"/>
        <w:ind w:firstLine="480" w:firstLineChars="200"/>
        <w:rPr>
          <w:rFonts w:ascii="宋体" w:hAnsi="宋体"/>
          <w:color w:val="000000"/>
          <w:sz w:val="24"/>
        </w:rPr>
      </w:pPr>
      <w:r>
        <w:rPr>
          <w:rFonts w:hint="eastAsia" w:ascii="宋体" w:hAnsi="宋体"/>
          <w:color w:val="000000"/>
          <w:sz w:val="24"/>
        </w:rPr>
        <w:t>教育心理与学生发展是在教育学一级学科下设的二级学科博士点，研究教育学中的基本理论问题，探求教育的一般原理和规律</w:t>
      </w:r>
      <w:r>
        <w:rPr>
          <w:rFonts w:ascii="宋体" w:hAnsi="宋体"/>
          <w:color w:val="000000"/>
          <w:sz w:val="24"/>
        </w:rPr>
        <w:t>,</w:t>
      </w:r>
      <w:r>
        <w:rPr>
          <w:rFonts w:hint="eastAsia" w:ascii="宋体" w:hAnsi="宋体"/>
          <w:color w:val="000000"/>
          <w:sz w:val="24"/>
        </w:rPr>
        <w:t>为研究教育和心理问题提供理论基础。主要研究方向包括：教育心理与教学设计、学生发展理论。</w:t>
      </w:r>
    </w:p>
    <w:p>
      <w:pPr>
        <w:spacing w:line="360" w:lineRule="auto"/>
        <w:ind w:firstLine="480" w:firstLineChars="200"/>
        <w:rPr>
          <w:rFonts w:ascii="宋体" w:hAnsi="宋体"/>
          <w:color w:val="000000"/>
          <w:sz w:val="24"/>
        </w:rPr>
      </w:pPr>
      <w:r>
        <w:rPr>
          <w:rFonts w:hint="eastAsia" w:ascii="宋体" w:hAnsi="宋体"/>
          <w:color w:val="000000"/>
          <w:sz w:val="24"/>
        </w:rPr>
        <w:t>1、教育心理与教学设计</w:t>
      </w:r>
    </w:p>
    <w:p>
      <w:pPr>
        <w:spacing w:line="360" w:lineRule="auto"/>
        <w:ind w:firstLine="480" w:firstLineChars="200"/>
        <w:rPr>
          <w:rFonts w:ascii="宋体" w:hAnsi="宋体"/>
          <w:color w:val="000000"/>
          <w:sz w:val="24"/>
        </w:rPr>
      </w:pPr>
      <w:r>
        <w:rPr>
          <w:rFonts w:hint="eastAsia" w:ascii="宋体" w:hAnsi="宋体"/>
          <w:color w:val="000000"/>
          <w:sz w:val="24"/>
        </w:rPr>
        <w:t>本方向关注教育心理与教学设计研究的前沿问题，致力于将基础研究与应用研究相结合，探讨促进学生有效学习的教学设计模式。目前的主要研究领域包括：高效率学习的认知机制，认知灵活性的发展与促进研究，学习困难学生的内部学习机制，学习动机特点、影响因素及教学策略，教育信息化视野下学生学习方式的变革研究等。</w:t>
      </w:r>
    </w:p>
    <w:p>
      <w:pPr>
        <w:spacing w:line="360" w:lineRule="auto"/>
        <w:ind w:firstLine="480" w:firstLineChars="200"/>
        <w:rPr>
          <w:rFonts w:ascii="宋体" w:hAnsi="宋体"/>
          <w:color w:val="000000"/>
          <w:sz w:val="24"/>
        </w:rPr>
      </w:pPr>
      <w:r>
        <w:rPr>
          <w:rFonts w:hint="eastAsia" w:ascii="宋体" w:hAnsi="宋体"/>
          <w:color w:val="000000"/>
          <w:sz w:val="24"/>
        </w:rPr>
        <w:t>2、学生发展理论</w:t>
      </w:r>
    </w:p>
    <w:p>
      <w:pPr>
        <w:spacing w:line="360" w:lineRule="auto"/>
        <w:ind w:firstLine="480" w:firstLineChars="200"/>
        <w:rPr>
          <w:rFonts w:ascii="宋体" w:hAnsi="宋体"/>
          <w:color w:val="000000"/>
          <w:sz w:val="24"/>
        </w:rPr>
      </w:pPr>
      <w:r>
        <w:rPr>
          <w:rFonts w:hint="eastAsia" w:ascii="宋体" w:hAnsi="宋体"/>
          <w:color w:val="000000"/>
          <w:sz w:val="24"/>
        </w:rPr>
        <w:t>本方向关注学生认知、个性与社会性的发展理论，为教育教学实践提供科学依据。目前的主要研究领域包括：有意遗忘的认知加工机制及发展特点，词汇阅读与语言发展的脑机制，创造力的认知基础与开发，儿童青少年的自我发展特点，青少年网络成瘾的影响因素研究等。</w:t>
      </w:r>
    </w:p>
    <w:p>
      <w:pPr>
        <w:spacing w:before="156" w:beforeLines="50" w:line="360" w:lineRule="auto"/>
        <w:ind w:firstLine="560" w:firstLineChars="200"/>
        <w:rPr>
          <w:rFonts w:hint="eastAsia" w:eastAsia="黑体"/>
          <w:bCs/>
          <w:sz w:val="28"/>
          <w:szCs w:val="28"/>
        </w:rPr>
      </w:pPr>
      <w:r>
        <w:rPr>
          <w:rFonts w:hint="eastAsia" w:eastAsia="黑体"/>
          <w:bCs/>
          <w:sz w:val="28"/>
          <w:szCs w:val="28"/>
        </w:rPr>
        <w:t>三、培养目标</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树立正确的中国特色社会主义核心价值观，具有坚定的理想信念，高尚的道德情操，优良的学术作风，高度的社会责任感。</w:t>
      </w:r>
      <w:r>
        <w:rPr>
          <w:rFonts w:hint="eastAsia" w:ascii="宋体" w:hAnsi="宋体"/>
          <w:color w:val="000000"/>
          <w:sz w:val="24"/>
        </w:rPr>
        <w:t>全面、准确地掌握马克思主义的基本理论，拥护中国共产党的领导，拥护社会主义制度，热爱祖国，遵纪守法，品行端正，具有自觉献身教育事业的精神和修养。</w:t>
      </w:r>
    </w:p>
    <w:p>
      <w:pPr>
        <w:spacing w:line="360" w:lineRule="auto"/>
        <w:ind w:firstLine="480" w:firstLineChars="200"/>
        <w:rPr>
          <w:rFonts w:ascii="宋体" w:hAnsi="宋体"/>
          <w:color w:val="000000"/>
          <w:sz w:val="24"/>
        </w:rPr>
      </w:pPr>
      <w:r>
        <w:rPr>
          <w:rFonts w:hint="eastAsia" w:ascii="宋体" w:hAnsi="宋体"/>
          <w:color w:val="000000"/>
          <w:sz w:val="24"/>
        </w:rPr>
        <w:t>2．能够在本学科的学习和研究中，运用辩证唯物主义和历史唯物主义的立场、观点和方法，独立开展高层次教育科学研究活动。</w:t>
      </w:r>
    </w:p>
    <w:p>
      <w:pPr>
        <w:spacing w:line="360" w:lineRule="auto"/>
        <w:ind w:firstLine="480" w:firstLineChars="200"/>
        <w:rPr>
          <w:rFonts w:ascii="宋体" w:hAnsi="宋体"/>
          <w:sz w:val="24"/>
        </w:rPr>
      </w:pPr>
      <w:r>
        <w:rPr>
          <w:rFonts w:hint="eastAsia" w:ascii="宋体" w:hAnsi="宋体"/>
          <w:color w:val="000000"/>
          <w:sz w:val="24"/>
        </w:rPr>
        <w:t>3．</w:t>
      </w:r>
      <w:r>
        <w:rPr>
          <w:rFonts w:ascii="宋体" w:hAnsi="宋体"/>
          <w:color w:val="000000"/>
          <w:sz w:val="24"/>
        </w:rPr>
        <w:t>掌握坚实宽广的基础理论和系统深入的专门知识，掌握本学科的科学研究方法及必要的现代实验方法和技能，熟悉本学科的前沿研究领域，具有独立从事科学研究和解决实际问题的能力</w:t>
      </w:r>
      <w:r>
        <w:rPr>
          <w:rFonts w:hint="eastAsia" w:ascii="宋体" w:hAnsi="宋体"/>
          <w:color w:val="000000"/>
          <w:sz w:val="24"/>
        </w:rPr>
        <w:t>，</w:t>
      </w:r>
      <w:r>
        <w:rPr>
          <w:rFonts w:ascii="宋体" w:hAnsi="宋体"/>
          <w:color w:val="000000"/>
          <w:sz w:val="24"/>
        </w:rPr>
        <w:t>胜任</w:t>
      </w:r>
      <w:r>
        <w:rPr>
          <w:rFonts w:hint="eastAsia" w:ascii="宋体" w:hAnsi="宋体"/>
          <w:color w:val="000000"/>
          <w:sz w:val="24"/>
        </w:rPr>
        <w:t>教育学</w:t>
      </w:r>
      <w:r>
        <w:rPr>
          <w:rFonts w:ascii="宋体" w:hAnsi="宋体"/>
          <w:color w:val="000000"/>
          <w:sz w:val="24"/>
        </w:rPr>
        <w:t>及相关专业的</w:t>
      </w:r>
      <w:r>
        <w:rPr>
          <w:rFonts w:hint="eastAsia" w:ascii="宋体" w:hAnsi="宋体"/>
          <w:color w:val="000000"/>
          <w:sz w:val="24"/>
        </w:rPr>
        <w:t>高水平</w:t>
      </w:r>
      <w:r>
        <w:rPr>
          <w:rFonts w:ascii="宋体" w:hAnsi="宋体"/>
          <w:color w:val="000000"/>
          <w:sz w:val="24"/>
        </w:rPr>
        <w:t>教学、科研及管理工作</w:t>
      </w:r>
      <w:r>
        <w:rPr>
          <w:rFonts w:hint="eastAsia" w:ascii="宋体" w:hAnsi="宋体"/>
          <w:color w:val="000000"/>
          <w:sz w:val="24"/>
        </w:rPr>
        <w:t>，具有较强</w:t>
      </w:r>
      <w:r>
        <w:rPr>
          <w:rFonts w:hint="eastAsia" w:ascii="宋体" w:hAnsi="宋体"/>
          <w:sz w:val="24"/>
        </w:rPr>
        <w:t>国际视野和熟练开展国际交流能力，适应国家和地方社会发展需要的研究型高层次的教育类专门人才和学术骨干。</w:t>
      </w:r>
    </w:p>
    <w:p>
      <w:pPr>
        <w:spacing w:line="360" w:lineRule="auto"/>
        <w:ind w:firstLine="480" w:firstLineChars="200"/>
        <w:rPr>
          <w:rFonts w:ascii="宋体" w:hAnsi="宋体"/>
          <w:color w:val="000000"/>
          <w:sz w:val="24"/>
        </w:rPr>
      </w:pPr>
      <w:r>
        <w:rPr>
          <w:rFonts w:hint="eastAsia" w:ascii="宋体" w:hAnsi="宋体"/>
          <w:color w:val="000000"/>
          <w:sz w:val="24"/>
        </w:rPr>
        <w:t>4．至少熟练掌握一门外国语，要求能熟练地利用外语阅读教育学及相关学术领域的外文文献资料，并具有一定的写作能力和国际学术交流能力。</w:t>
      </w:r>
    </w:p>
    <w:p>
      <w:pPr>
        <w:spacing w:line="360" w:lineRule="auto"/>
        <w:ind w:firstLine="480" w:firstLineChars="200"/>
        <w:rPr>
          <w:rFonts w:ascii="宋体" w:hAnsi="宋体"/>
          <w:color w:val="000000"/>
          <w:sz w:val="24"/>
        </w:rPr>
      </w:pPr>
      <w:r>
        <w:rPr>
          <w:rFonts w:hint="eastAsia" w:ascii="宋体" w:hAnsi="宋体"/>
          <w:color w:val="000000"/>
          <w:sz w:val="24"/>
        </w:rPr>
        <w:t>5．身心健康。</w:t>
      </w:r>
    </w:p>
    <w:p>
      <w:pPr>
        <w:spacing w:before="156" w:beforeLines="50" w:line="360" w:lineRule="auto"/>
        <w:ind w:firstLine="560" w:firstLineChars="200"/>
        <w:rPr>
          <w:rFonts w:hint="eastAsia" w:eastAsia="黑体"/>
          <w:bCs/>
          <w:sz w:val="28"/>
          <w:szCs w:val="28"/>
        </w:rPr>
      </w:pPr>
      <w:r>
        <w:rPr>
          <w:rFonts w:hint="eastAsia" w:eastAsia="黑体"/>
          <w:bCs/>
          <w:sz w:val="28"/>
          <w:szCs w:val="28"/>
        </w:rPr>
        <w:t>四、学制及学习年限</w:t>
      </w:r>
    </w:p>
    <w:p>
      <w:pPr>
        <w:spacing w:line="440" w:lineRule="exact"/>
        <w:ind w:firstLine="480" w:firstLineChars="200"/>
        <w:rPr>
          <w:rFonts w:asciiTheme="minorEastAsia" w:hAnsiTheme="minorEastAsia" w:eastAsiaTheme="minorEastAsia"/>
          <w:i/>
          <w:color w:val="000000"/>
          <w:sz w:val="24"/>
        </w:rPr>
      </w:pPr>
      <w:r>
        <w:rPr>
          <w:rFonts w:hint="eastAsia" w:asciiTheme="minorEastAsia" w:hAnsiTheme="minorEastAsia" w:eastAsiaTheme="minorEastAsia"/>
          <w:color w:val="000000"/>
          <w:sz w:val="24"/>
        </w:rPr>
        <w:t>本学科所属专业研究生学制为</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年，学习年限最长不超过8年。</w:t>
      </w:r>
    </w:p>
    <w:p>
      <w:pPr>
        <w:spacing w:before="156" w:beforeLines="50" w:line="360" w:lineRule="auto"/>
        <w:ind w:firstLine="560" w:firstLineChars="200"/>
        <w:rPr>
          <w:rFonts w:eastAsia="黑体"/>
          <w:bCs/>
          <w:sz w:val="28"/>
          <w:szCs w:val="28"/>
        </w:rPr>
      </w:pPr>
      <w:r>
        <w:rPr>
          <w:rFonts w:hint="eastAsia" w:eastAsia="黑体"/>
          <w:bCs/>
          <w:sz w:val="28"/>
          <w:szCs w:val="28"/>
        </w:rPr>
        <w:t>五、中期筛选</w:t>
      </w:r>
    </w:p>
    <w:p>
      <w:pPr>
        <w:spacing w:before="156" w:beforeLines="50" w:line="360" w:lineRule="auto"/>
        <w:ind w:firstLine="480" w:firstLineChars="200"/>
        <w:rPr>
          <w:rFonts w:hint="eastAsia" w:eastAsiaTheme="minorEastAsia"/>
          <w:bCs/>
          <w:sz w:val="24"/>
        </w:rPr>
      </w:pPr>
      <w:bookmarkStart w:id="0" w:name="_Toc59002625"/>
      <w:r>
        <w:rPr>
          <w:rFonts w:hint="eastAsia" w:eastAsiaTheme="minorEastAsia"/>
          <w:bCs/>
          <w:sz w:val="24"/>
        </w:rPr>
        <w:t>各研究生培养单位在</w:t>
      </w:r>
      <w:r>
        <w:rPr>
          <w:rFonts w:eastAsiaTheme="minorEastAsia"/>
          <w:bCs/>
          <w:sz w:val="24"/>
        </w:rPr>
        <w:t>研究生完成培养方案规定的课程学习</w:t>
      </w:r>
      <w:r>
        <w:rPr>
          <w:rFonts w:hint="eastAsia" w:eastAsiaTheme="minorEastAsia"/>
          <w:bCs/>
          <w:sz w:val="24"/>
        </w:rPr>
        <w:t>、</w:t>
      </w:r>
      <w:r>
        <w:rPr>
          <w:rFonts w:eastAsiaTheme="minorEastAsia"/>
          <w:bCs/>
          <w:sz w:val="24"/>
        </w:rPr>
        <w:t>考核成绩合格</w:t>
      </w:r>
      <w:r>
        <w:rPr>
          <w:rFonts w:hint="eastAsia" w:eastAsiaTheme="minorEastAsia"/>
          <w:bCs/>
          <w:sz w:val="24"/>
        </w:rPr>
        <w:t>、</w:t>
      </w:r>
      <w:r>
        <w:rPr>
          <w:rFonts w:eastAsiaTheme="minorEastAsia"/>
          <w:bCs/>
          <w:sz w:val="24"/>
        </w:rPr>
        <w:t>获得规定的学分</w:t>
      </w:r>
      <w:r>
        <w:rPr>
          <w:rFonts w:hint="eastAsia" w:eastAsiaTheme="minorEastAsia"/>
          <w:bCs/>
          <w:sz w:val="24"/>
        </w:rPr>
        <w:t>后，</w:t>
      </w:r>
      <w:bookmarkEnd w:id="0"/>
      <w:r>
        <w:rPr>
          <w:rFonts w:hint="eastAsia" w:eastAsiaTheme="minorEastAsia"/>
          <w:bCs/>
          <w:sz w:val="24"/>
        </w:rPr>
        <w:t>按照学校相关文件组织开展中期筛选工作。</w:t>
      </w:r>
    </w:p>
    <w:p>
      <w:pPr>
        <w:spacing w:before="156" w:beforeLines="50" w:line="360" w:lineRule="auto"/>
        <w:ind w:firstLine="560" w:firstLineChars="200"/>
        <w:rPr>
          <w:rFonts w:eastAsia="黑体"/>
          <w:bCs/>
          <w:sz w:val="28"/>
          <w:szCs w:val="28"/>
        </w:rPr>
      </w:pPr>
      <w:r>
        <w:rPr>
          <w:rFonts w:eastAsia="黑体"/>
          <w:bCs/>
          <w:sz w:val="28"/>
          <w:szCs w:val="28"/>
        </w:rPr>
        <w:t>六</w:t>
      </w:r>
      <w:r>
        <w:rPr>
          <w:rFonts w:hint="eastAsia" w:eastAsia="黑体"/>
          <w:bCs/>
          <w:sz w:val="28"/>
          <w:szCs w:val="28"/>
        </w:rPr>
        <w:t>、论文工作</w:t>
      </w:r>
    </w:p>
    <w:p>
      <w:pPr>
        <w:spacing w:line="420" w:lineRule="exact"/>
        <w:ind w:firstLine="480"/>
        <w:rPr>
          <w:rFonts w:eastAsiaTheme="minorEastAsia"/>
          <w:bCs/>
          <w:sz w:val="24"/>
        </w:rPr>
      </w:pPr>
      <w:r>
        <w:rPr>
          <w:rFonts w:hint="eastAsia" w:eastAsiaTheme="minorEastAsia"/>
          <w:bCs/>
          <w:sz w:val="24"/>
        </w:rPr>
        <w:t>博士研究生必须在导师指导下独立完成学位（毕业）论文。学位（毕业）论文应表明作者具有独立从事科学研究工作的能力，并做出创新性成果，不得抄袭和剽窃他人成果。博士学位（毕业）论文的研究工作必须经过开题、预答辩、评审、答辩等环节。</w:t>
      </w:r>
    </w:p>
    <w:p>
      <w:pPr>
        <w:spacing w:line="420" w:lineRule="exact"/>
        <w:ind w:firstLine="480"/>
        <w:rPr>
          <w:rFonts w:eastAsiaTheme="minorEastAsia"/>
          <w:bCs/>
          <w:sz w:val="24"/>
        </w:rPr>
      </w:pPr>
      <w:r>
        <w:rPr>
          <w:rFonts w:hint="eastAsia" w:eastAsiaTheme="minorEastAsia"/>
          <w:bCs/>
          <w:sz w:val="24"/>
        </w:rPr>
        <w:t>博士学位（毕业）论文的选题应体现学科领域的前沿性和先进性，论文开题一般应在第三个学期前完成，开题报告能够清晰表述研究内容及其研究的学术价值。在论文工作基本完成后，要进行论文预答辩，对论文初稿进行全面、细致、充分的预审。在答辩前，应组织同行专家对论文进行评审，具体按照《河北大学研究生学位论文评审管理办法》相关要求进行。通过论文评审的博士研究生，可申请论文答辩，论文答辩按照《河北大学学位条例实施细则》等文件规定执行。</w:t>
      </w:r>
    </w:p>
    <w:p>
      <w:pPr>
        <w:spacing w:before="156" w:beforeLines="50" w:line="360" w:lineRule="auto"/>
        <w:ind w:firstLine="560" w:firstLineChars="200"/>
        <w:rPr>
          <w:rFonts w:eastAsia="黑体"/>
          <w:bCs/>
          <w:sz w:val="28"/>
          <w:szCs w:val="28"/>
        </w:rPr>
      </w:pPr>
      <w:r>
        <w:rPr>
          <w:rFonts w:hint="eastAsia" w:eastAsia="黑体"/>
          <w:bCs/>
          <w:sz w:val="28"/>
          <w:szCs w:val="28"/>
        </w:rPr>
        <w:t>七</w:t>
      </w:r>
      <w:r>
        <w:rPr>
          <w:rFonts w:eastAsia="黑体"/>
          <w:bCs/>
          <w:sz w:val="28"/>
          <w:szCs w:val="28"/>
        </w:rPr>
        <w:t>、毕业条件</w:t>
      </w:r>
    </w:p>
    <w:p>
      <w:pPr>
        <w:spacing w:line="440" w:lineRule="exact"/>
        <w:ind w:firstLine="480" w:firstLineChars="200"/>
        <w:rPr>
          <w:rFonts w:eastAsiaTheme="minorEastAsia"/>
          <w:bCs/>
          <w:sz w:val="24"/>
        </w:rPr>
      </w:pPr>
      <w:r>
        <w:rPr>
          <w:rFonts w:eastAsiaTheme="minorEastAsia"/>
          <w:bCs/>
          <w:sz w:val="24"/>
        </w:rPr>
        <w:t>1.</w:t>
      </w:r>
      <w:r>
        <w:rPr>
          <w:rFonts w:hint="eastAsia" w:eastAsiaTheme="minorEastAsia"/>
          <w:bCs/>
          <w:sz w:val="24"/>
        </w:rPr>
        <w:t xml:space="preserve"> </w:t>
      </w:r>
      <w:r>
        <w:rPr>
          <w:rFonts w:eastAsiaTheme="minorEastAsia"/>
          <w:bCs/>
          <w:sz w:val="24"/>
        </w:rPr>
        <w:t>课程学习。研究生在规定修业年限内完成培养方案规定的课程学习，考核成绩合格，获得规定的学分。</w:t>
      </w:r>
    </w:p>
    <w:p>
      <w:pPr>
        <w:spacing w:line="440" w:lineRule="exact"/>
        <w:ind w:firstLine="480" w:firstLineChars="200"/>
        <w:rPr>
          <w:rFonts w:eastAsiaTheme="minorEastAsia"/>
          <w:bCs/>
          <w:sz w:val="24"/>
        </w:rPr>
      </w:pPr>
      <w:r>
        <w:rPr>
          <w:rFonts w:eastAsiaTheme="minorEastAsia"/>
          <w:bCs/>
          <w:sz w:val="24"/>
        </w:rPr>
        <w:t>2.</w:t>
      </w:r>
      <w:r>
        <w:rPr>
          <w:rFonts w:hint="eastAsia" w:eastAsiaTheme="minorEastAsia"/>
          <w:bCs/>
          <w:sz w:val="24"/>
        </w:rPr>
        <w:t xml:space="preserve"> </w:t>
      </w:r>
      <w:r>
        <w:rPr>
          <w:rFonts w:eastAsiaTheme="minorEastAsia"/>
          <w:bCs/>
          <w:sz w:val="24"/>
        </w:rPr>
        <w:t>学术活动。研究生</w:t>
      </w:r>
      <w:r>
        <w:rPr>
          <w:rFonts w:eastAsiaTheme="minorEastAsia"/>
          <w:color w:val="000000"/>
          <w:sz w:val="24"/>
        </w:rPr>
        <w:t>在读</w:t>
      </w:r>
      <w:r>
        <w:rPr>
          <w:rFonts w:eastAsiaTheme="minorEastAsia"/>
          <w:bCs/>
          <w:sz w:val="24"/>
        </w:rPr>
        <w:t>期间参加不少于1</w:t>
      </w:r>
      <w:r>
        <w:rPr>
          <w:rFonts w:hint="eastAsia" w:eastAsiaTheme="minorEastAsia"/>
          <w:bCs/>
          <w:sz w:val="24"/>
        </w:rPr>
        <w:t>5</w:t>
      </w:r>
      <w:r>
        <w:rPr>
          <w:rFonts w:eastAsiaTheme="minorEastAsia"/>
          <w:bCs/>
          <w:sz w:val="24"/>
        </w:rPr>
        <w:t>次学术活动，并撰写学术报告小结；以主讲人或宣讲人身份，参加在校内外举行的学术报告或学术讲座不少于</w:t>
      </w:r>
      <w:r>
        <w:rPr>
          <w:rFonts w:hint="eastAsia" w:eastAsiaTheme="minorEastAsia"/>
          <w:bCs/>
          <w:sz w:val="24"/>
        </w:rPr>
        <w:t>2</w:t>
      </w:r>
      <w:r>
        <w:rPr>
          <w:rFonts w:eastAsiaTheme="minorEastAsia"/>
          <w:bCs/>
          <w:sz w:val="24"/>
        </w:rPr>
        <w:t>次。</w:t>
      </w:r>
    </w:p>
    <w:p>
      <w:pPr>
        <w:spacing w:line="440" w:lineRule="exact"/>
        <w:ind w:firstLine="480" w:firstLineChars="200"/>
        <w:rPr>
          <w:rFonts w:eastAsiaTheme="minorEastAsia"/>
          <w:bCs/>
          <w:sz w:val="24"/>
        </w:rPr>
      </w:pPr>
      <w:r>
        <w:rPr>
          <w:rFonts w:eastAsiaTheme="minorEastAsia"/>
          <w:bCs/>
          <w:sz w:val="24"/>
        </w:rPr>
        <w:t>3. 论文答辩。学位（毕业）论文经专家评审合格、通过学位（毕业）答辩，符合毕业资格审查后，准予毕业。</w:t>
      </w:r>
    </w:p>
    <w:p>
      <w:pPr>
        <w:spacing w:before="156" w:beforeLines="50" w:line="360" w:lineRule="auto"/>
        <w:ind w:firstLine="560" w:firstLineChars="200"/>
        <w:rPr>
          <w:rFonts w:eastAsia="黑体"/>
          <w:bCs/>
          <w:sz w:val="28"/>
          <w:szCs w:val="28"/>
        </w:rPr>
      </w:pPr>
      <w:r>
        <w:rPr>
          <w:rFonts w:hint="eastAsia" w:eastAsia="黑体"/>
          <w:bCs/>
          <w:sz w:val="28"/>
          <w:szCs w:val="28"/>
        </w:rPr>
        <w:t>八</w:t>
      </w:r>
      <w:r>
        <w:rPr>
          <w:rFonts w:eastAsia="黑体"/>
          <w:bCs/>
          <w:sz w:val="28"/>
          <w:szCs w:val="28"/>
        </w:rPr>
        <w:t>、学位授予</w:t>
      </w:r>
    </w:p>
    <w:p>
      <w:pPr>
        <w:spacing w:line="440" w:lineRule="exact"/>
        <w:ind w:firstLine="480" w:firstLineChars="200"/>
        <w:rPr>
          <w:rFonts w:eastAsiaTheme="minorEastAsia"/>
          <w:bCs/>
          <w:i/>
          <w:sz w:val="24"/>
        </w:rPr>
      </w:pPr>
      <w:r>
        <w:rPr>
          <w:rFonts w:eastAsiaTheme="minorEastAsia"/>
          <w:bCs/>
          <w:color w:val="000000" w:themeColor="text1"/>
          <w:sz w:val="24"/>
        </w:rPr>
        <w:t>研究生通过</w:t>
      </w:r>
      <w:r>
        <w:rPr>
          <w:rFonts w:hint="eastAsia" w:eastAsiaTheme="minorEastAsia"/>
          <w:bCs/>
          <w:color w:val="000000" w:themeColor="text1"/>
          <w:sz w:val="24"/>
        </w:rPr>
        <w:t>毕业资格审查</w:t>
      </w:r>
      <w:r>
        <w:rPr>
          <w:rFonts w:eastAsiaTheme="minorEastAsia"/>
          <w:bCs/>
          <w:color w:val="000000" w:themeColor="text1"/>
          <w:sz w:val="24"/>
        </w:rPr>
        <w:t>，</w:t>
      </w:r>
      <w:r>
        <w:rPr>
          <w:rFonts w:eastAsiaTheme="minorEastAsia"/>
          <w:bCs/>
          <w:sz w:val="24"/>
        </w:rPr>
        <w:t>符合《中华人民共和国学位条例》的有关规定，达到学校学位授予标准，经学校学位评定委员会审核，授予</w:t>
      </w:r>
      <w:r>
        <w:rPr>
          <w:rFonts w:hint="eastAsia" w:eastAsiaTheme="minorEastAsia"/>
          <w:bCs/>
          <w:sz w:val="24"/>
        </w:rPr>
        <w:t>博</w:t>
      </w:r>
      <w:r>
        <w:rPr>
          <w:rFonts w:eastAsiaTheme="minorEastAsia"/>
          <w:bCs/>
          <w:sz w:val="24"/>
        </w:rPr>
        <w:t>士学位。</w:t>
      </w:r>
    </w:p>
    <w:p>
      <w:pPr>
        <w:spacing w:before="156" w:beforeLines="50" w:line="360" w:lineRule="auto"/>
        <w:ind w:firstLine="560" w:firstLineChars="200"/>
        <w:rPr>
          <w:rFonts w:eastAsia="黑体"/>
          <w:bCs/>
          <w:sz w:val="28"/>
          <w:szCs w:val="28"/>
        </w:rPr>
      </w:pPr>
      <w:r>
        <w:rPr>
          <w:rFonts w:hint="eastAsia" w:eastAsia="黑体"/>
          <w:bCs/>
          <w:sz w:val="28"/>
          <w:szCs w:val="28"/>
        </w:rPr>
        <w:t>九</w:t>
      </w:r>
      <w:r>
        <w:rPr>
          <w:rFonts w:eastAsia="黑体"/>
          <w:bCs/>
          <w:sz w:val="28"/>
          <w:szCs w:val="28"/>
        </w:rPr>
        <w:t>、学分及课程设置</w:t>
      </w:r>
    </w:p>
    <w:p>
      <w:pPr>
        <w:spacing w:line="440" w:lineRule="exact"/>
        <w:ind w:firstLine="480" w:firstLineChars="200"/>
        <w:rPr>
          <w:rFonts w:eastAsiaTheme="minorEastAsia"/>
          <w:bCs/>
          <w:sz w:val="24"/>
        </w:rPr>
      </w:pPr>
      <w:r>
        <w:rPr>
          <w:rFonts w:hint="eastAsia" w:asciiTheme="minorEastAsia" w:hAnsiTheme="minorEastAsia" w:eastAsiaTheme="minorEastAsia"/>
          <w:color w:val="000000"/>
          <w:sz w:val="24"/>
        </w:rPr>
        <w:t>本学科所属专业</w:t>
      </w:r>
      <w:r>
        <w:rPr>
          <w:rFonts w:eastAsiaTheme="minorEastAsia"/>
          <w:color w:val="000000"/>
          <w:sz w:val="24"/>
        </w:rPr>
        <w:t>最低修读学分</w:t>
      </w:r>
      <w:r>
        <w:rPr>
          <w:rFonts w:eastAsiaTheme="minorEastAsia"/>
          <w:bCs/>
          <w:sz w:val="24"/>
        </w:rPr>
        <w:t>为</w:t>
      </w:r>
      <w:r>
        <w:rPr>
          <w:rFonts w:hint="eastAsia" w:eastAsiaTheme="minorEastAsia"/>
          <w:bCs/>
          <w:sz w:val="24"/>
          <w:lang w:val="en-US" w:eastAsia="zh-CN"/>
        </w:rPr>
        <w:t>21</w:t>
      </w:r>
      <w:r>
        <w:rPr>
          <w:rFonts w:eastAsiaTheme="minorEastAsia"/>
          <w:bCs/>
          <w:sz w:val="24"/>
        </w:rPr>
        <w:t>分，其中学位课</w:t>
      </w:r>
      <w:r>
        <w:rPr>
          <w:rFonts w:hint="eastAsia" w:eastAsiaTheme="minorEastAsia"/>
          <w:bCs/>
          <w:sz w:val="24"/>
        </w:rPr>
        <w:t>1</w:t>
      </w:r>
      <w:r>
        <w:rPr>
          <w:rFonts w:hint="eastAsia" w:eastAsiaTheme="minorEastAsia"/>
          <w:bCs/>
          <w:sz w:val="24"/>
          <w:lang w:val="en-US" w:eastAsia="zh-CN"/>
        </w:rPr>
        <w:t>1</w:t>
      </w:r>
      <w:r>
        <w:rPr>
          <w:rFonts w:eastAsiaTheme="minorEastAsia"/>
          <w:bCs/>
          <w:sz w:val="24"/>
        </w:rPr>
        <w:t>学分</w:t>
      </w:r>
      <w:r>
        <w:rPr>
          <w:rFonts w:hint="eastAsia" w:eastAsiaTheme="minorEastAsia"/>
          <w:bCs/>
          <w:sz w:val="24"/>
        </w:rPr>
        <w:t>，</w:t>
      </w:r>
      <w:r>
        <w:rPr>
          <w:rFonts w:eastAsiaTheme="minorEastAsia"/>
          <w:bCs/>
          <w:sz w:val="24"/>
        </w:rPr>
        <w:t>非学位课</w:t>
      </w:r>
      <w:r>
        <w:rPr>
          <w:rFonts w:hint="eastAsia" w:eastAsiaTheme="minorEastAsia"/>
          <w:bCs/>
          <w:sz w:val="24"/>
          <w:lang w:val="en-US" w:eastAsia="zh-CN"/>
        </w:rPr>
        <w:t>10</w:t>
      </w:r>
      <w:r>
        <w:rPr>
          <w:rFonts w:eastAsiaTheme="minorEastAsia"/>
          <w:bCs/>
          <w:sz w:val="24"/>
        </w:rPr>
        <w:t>学分。</w:t>
      </w:r>
    </w:p>
    <w:p>
      <w:pPr>
        <w:spacing w:line="440" w:lineRule="exact"/>
        <w:ind w:firstLine="480" w:firstLineChars="200"/>
        <w:rPr>
          <w:rFonts w:hint="eastAsia"/>
          <w:color w:val="000000"/>
          <w:sz w:val="24"/>
        </w:rPr>
      </w:pPr>
      <w:r>
        <w:rPr>
          <w:rFonts w:hint="eastAsia"/>
          <w:color w:val="000000"/>
          <w:sz w:val="24"/>
        </w:rPr>
        <w:t>研究生课程考试不设补考环节，</w:t>
      </w:r>
      <w:r>
        <w:rPr>
          <w:rFonts w:hint="eastAsia" w:eastAsiaTheme="minorEastAsia"/>
          <w:bCs/>
          <w:sz w:val="24"/>
        </w:rPr>
        <w:t>课程考核方式包括考试和考查，</w:t>
      </w:r>
      <w:r>
        <w:rPr>
          <w:rFonts w:eastAsiaTheme="minorEastAsia"/>
          <w:bCs/>
          <w:sz w:val="24"/>
        </w:rPr>
        <w:t>可以采用口试、笔试或写读书报告、论文的形式，成绩均按百分制成绩评定，</w:t>
      </w:r>
      <w:r>
        <w:rPr>
          <w:color w:val="000000"/>
          <w:sz w:val="24"/>
        </w:rPr>
        <w:t>考试成绩</w:t>
      </w:r>
      <w:r>
        <w:rPr>
          <w:rFonts w:hint="eastAsia"/>
          <w:color w:val="000000"/>
          <w:sz w:val="24"/>
        </w:rPr>
        <w:t>低于60分的需重修。</w:t>
      </w:r>
    </w:p>
    <w:p>
      <w:pPr>
        <w:spacing w:line="440" w:lineRule="exact"/>
        <w:ind w:firstLine="480" w:firstLineChars="200"/>
        <w:rPr>
          <w:rFonts w:hint="eastAsia"/>
          <w:color w:val="000000"/>
          <w:sz w:val="24"/>
        </w:rPr>
      </w:pPr>
    </w:p>
    <w:p>
      <w:pPr>
        <w:spacing w:line="440" w:lineRule="exact"/>
        <w:rPr>
          <w:rFonts w:hint="eastAsia"/>
          <w:color w:val="000000"/>
          <w:sz w:val="24"/>
        </w:rPr>
      </w:pPr>
    </w:p>
    <w:p>
      <w:pPr>
        <w:spacing w:line="42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lang w:val="en-US" w:eastAsia="zh-CN"/>
        </w:rPr>
        <w:t>教育学学</w:t>
      </w:r>
      <w:r>
        <w:rPr>
          <w:rFonts w:hint="eastAsia" w:asciiTheme="minorEastAsia" w:hAnsiTheme="minorEastAsia" w:eastAsiaTheme="minorEastAsia"/>
          <w:b/>
          <w:bCs/>
          <w:sz w:val="24"/>
        </w:rPr>
        <w:t>术学位博士研究生课程设置一览表</w:t>
      </w:r>
    </w:p>
    <w:tbl>
      <w:tblPr>
        <w:tblStyle w:val="11"/>
        <w:tblW w:w="962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49"/>
        <w:gridCol w:w="1707"/>
        <w:gridCol w:w="3107"/>
        <w:gridCol w:w="1203"/>
        <w:gridCol w:w="639"/>
        <w:gridCol w:w="683"/>
        <w:gridCol w:w="11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56" w:type="dxa"/>
            <w:gridSpan w:val="2"/>
            <w:vAlign w:val="center"/>
          </w:tcPr>
          <w:p>
            <w:pPr>
              <w:jc w:val="center"/>
              <w:rPr>
                <w:b/>
                <w:color w:val="000000" w:themeColor="text1"/>
                <w:szCs w:val="21"/>
              </w:rPr>
            </w:pPr>
            <w:r>
              <w:rPr>
                <w:rFonts w:hint="eastAsia"/>
                <w:b/>
                <w:color w:val="000000" w:themeColor="text1"/>
                <w:szCs w:val="21"/>
              </w:rPr>
              <w:t>课程类别</w:t>
            </w:r>
          </w:p>
        </w:tc>
        <w:tc>
          <w:tcPr>
            <w:tcW w:w="3107" w:type="dxa"/>
            <w:vAlign w:val="center"/>
          </w:tcPr>
          <w:p>
            <w:pPr>
              <w:jc w:val="center"/>
              <w:rPr>
                <w:b/>
                <w:color w:val="000000" w:themeColor="text1"/>
                <w:szCs w:val="21"/>
              </w:rPr>
            </w:pPr>
            <w:r>
              <w:rPr>
                <w:b/>
                <w:color w:val="000000" w:themeColor="text1"/>
                <w:szCs w:val="21"/>
              </w:rPr>
              <w:t>课程</w:t>
            </w:r>
            <w:r>
              <w:rPr>
                <w:rFonts w:hint="eastAsia"/>
                <w:b/>
                <w:color w:val="000000" w:themeColor="text1"/>
                <w:szCs w:val="21"/>
              </w:rPr>
              <w:t>名称</w:t>
            </w:r>
          </w:p>
        </w:tc>
        <w:tc>
          <w:tcPr>
            <w:tcW w:w="1203" w:type="dxa"/>
            <w:vAlign w:val="center"/>
          </w:tcPr>
          <w:p>
            <w:pPr>
              <w:jc w:val="center"/>
              <w:rPr>
                <w:b/>
                <w:color w:val="000000" w:themeColor="text1"/>
                <w:szCs w:val="21"/>
              </w:rPr>
            </w:pPr>
            <w:r>
              <w:rPr>
                <w:rFonts w:hint="eastAsia"/>
                <w:b/>
                <w:color w:val="000000" w:themeColor="text1"/>
                <w:szCs w:val="21"/>
              </w:rPr>
              <w:t>课程号</w:t>
            </w:r>
          </w:p>
        </w:tc>
        <w:tc>
          <w:tcPr>
            <w:tcW w:w="639" w:type="dxa"/>
            <w:vAlign w:val="center"/>
          </w:tcPr>
          <w:p>
            <w:pPr>
              <w:jc w:val="center"/>
              <w:rPr>
                <w:b/>
                <w:color w:val="000000" w:themeColor="text1"/>
                <w:szCs w:val="21"/>
              </w:rPr>
            </w:pPr>
            <w:r>
              <w:rPr>
                <w:b/>
                <w:color w:val="000000" w:themeColor="text1"/>
                <w:szCs w:val="21"/>
              </w:rPr>
              <w:t>学分</w:t>
            </w:r>
          </w:p>
        </w:tc>
        <w:tc>
          <w:tcPr>
            <w:tcW w:w="683" w:type="dxa"/>
            <w:vAlign w:val="center"/>
          </w:tcPr>
          <w:p>
            <w:pPr>
              <w:jc w:val="center"/>
              <w:rPr>
                <w:b/>
                <w:color w:val="000000" w:themeColor="text1"/>
                <w:szCs w:val="21"/>
              </w:rPr>
            </w:pPr>
            <w:r>
              <w:rPr>
                <w:b/>
                <w:color w:val="000000" w:themeColor="text1"/>
                <w:szCs w:val="21"/>
              </w:rPr>
              <w:t>学期</w:t>
            </w:r>
          </w:p>
        </w:tc>
        <w:tc>
          <w:tcPr>
            <w:tcW w:w="1134" w:type="dxa"/>
            <w:vAlign w:val="center"/>
          </w:tcPr>
          <w:p>
            <w:pPr>
              <w:jc w:val="center"/>
              <w:rPr>
                <w:b/>
                <w:color w:val="000000" w:themeColor="text1"/>
                <w:szCs w:val="21"/>
              </w:rPr>
            </w:pPr>
            <w:r>
              <w:rPr>
                <w:rFonts w:hint="eastAsia"/>
                <w:b/>
                <w:color w:val="000000" w:themeColor="text1"/>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6" w:hRule="atLeast"/>
          <w:jc w:val="center"/>
        </w:trPr>
        <w:tc>
          <w:tcPr>
            <w:tcW w:w="1149" w:type="dxa"/>
            <w:vMerge w:val="restart"/>
            <w:vAlign w:val="center"/>
          </w:tcPr>
          <w:p>
            <w:pPr>
              <w:jc w:val="center"/>
              <w:rPr>
                <w:b/>
                <w:color w:val="000000" w:themeColor="text1"/>
                <w:sz w:val="18"/>
                <w:szCs w:val="18"/>
              </w:rPr>
            </w:pPr>
            <w:r>
              <w:rPr>
                <w:b/>
                <w:color w:val="000000" w:themeColor="text1"/>
                <w:sz w:val="18"/>
                <w:szCs w:val="18"/>
              </w:rPr>
              <w:t>学</w:t>
            </w:r>
          </w:p>
          <w:p>
            <w:pPr>
              <w:jc w:val="center"/>
              <w:rPr>
                <w:b/>
                <w:color w:val="000000" w:themeColor="text1"/>
                <w:sz w:val="18"/>
                <w:szCs w:val="18"/>
              </w:rPr>
            </w:pPr>
            <w:r>
              <w:rPr>
                <w:b/>
                <w:color w:val="000000" w:themeColor="text1"/>
                <w:sz w:val="18"/>
                <w:szCs w:val="18"/>
              </w:rPr>
              <w:t>位</w:t>
            </w:r>
          </w:p>
          <w:p>
            <w:pPr>
              <w:jc w:val="center"/>
              <w:rPr>
                <w:b/>
                <w:color w:val="000000" w:themeColor="text1"/>
                <w:sz w:val="18"/>
                <w:szCs w:val="18"/>
              </w:rPr>
            </w:pPr>
            <w:r>
              <w:rPr>
                <w:b/>
                <w:color w:val="000000" w:themeColor="text1"/>
                <w:sz w:val="18"/>
                <w:szCs w:val="18"/>
              </w:rPr>
              <w:t>课</w:t>
            </w:r>
          </w:p>
          <w:p>
            <w:pPr>
              <w:jc w:val="center"/>
              <w:rPr>
                <w:b/>
                <w:color w:val="000000" w:themeColor="text1"/>
                <w:sz w:val="15"/>
                <w:szCs w:val="15"/>
              </w:rPr>
            </w:pPr>
            <w:r>
              <w:rPr>
                <w:rFonts w:hint="eastAsia"/>
                <w:b/>
                <w:color w:val="000000" w:themeColor="text1"/>
                <w:sz w:val="18"/>
                <w:szCs w:val="18"/>
              </w:rPr>
              <w:t>(</w:t>
            </w:r>
            <w:r>
              <w:rPr>
                <w:rFonts w:hint="eastAsia"/>
                <w:b/>
                <w:color w:val="000000" w:themeColor="text1"/>
                <w:sz w:val="18"/>
                <w:szCs w:val="18"/>
                <w:lang w:val="en-US" w:eastAsia="zh-CN"/>
              </w:rPr>
              <w:t>11</w:t>
            </w:r>
            <w:r>
              <w:rPr>
                <w:rFonts w:hint="eastAsia"/>
                <w:b/>
                <w:color w:val="000000" w:themeColor="text1"/>
                <w:sz w:val="18"/>
                <w:szCs w:val="18"/>
              </w:rPr>
              <w:t>学分)</w:t>
            </w:r>
          </w:p>
        </w:tc>
        <w:tc>
          <w:tcPr>
            <w:tcW w:w="1707" w:type="dxa"/>
            <w:vMerge w:val="restart"/>
            <w:vAlign w:val="center"/>
          </w:tcPr>
          <w:p>
            <w:pPr>
              <w:adjustRightInd w:val="0"/>
              <w:jc w:val="center"/>
              <w:rPr>
                <w:b/>
                <w:color w:val="000000" w:themeColor="text1"/>
                <w:sz w:val="18"/>
                <w:szCs w:val="18"/>
              </w:rPr>
            </w:pPr>
            <w:r>
              <w:rPr>
                <w:b/>
                <w:color w:val="000000" w:themeColor="text1"/>
                <w:sz w:val="18"/>
                <w:szCs w:val="18"/>
              </w:rPr>
              <w:t>公共必修课</w:t>
            </w:r>
          </w:p>
        </w:tc>
        <w:tc>
          <w:tcPr>
            <w:tcW w:w="3107" w:type="dxa"/>
            <w:vAlign w:val="center"/>
          </w:tcPr>
          <w:p>
            <w:pPr>
              <w:jc w:val="left"/>
              <w:rPr>
                <w:color w:val="000000" w:themeColor="text1"/>
                <w:sz w:val="18"/>
                <w:szCs w:val="18"/>
              </w:rPr>
            </w:pPr>
            <w:r>
              <w:rPr>
                <w:rFonts w:hint="eastAsia"/>
                <w:color w:val="000000" w:themeColor="text1"/>
                <w:sz w:val="18"/>
                <w:szCs w:val="18"/>
              </w:rPr>
              <w:t>中国</w:t>
            </w:r>
            <w:r>
              <w:rPr>
                <w:color w:val="000000" w:themeColor="text1"/>
                <w:sz w:val="18"/>
                <w:szCs w:val="18"/>
              </w:rPr>
              <w:t>马克思主义与当代</w:t>
            </w:r>
          </w:p>
        </w:tc>
        <w:tc>
          <w:tcPr>
            <w:tcW w:w="1203" w:type="dxa"/>
            <w:vAlign w:val="center"/>
          </w:tcPr>
          <w:p>
            <w:pPr>
              <w:jc w:val="center"/>
              <w:rPr>
                <w:color w:val="000000" w:themeColor="text1"/>
                <w:sz w:val="18"/>
                <w:szCs w:val="18"/>
              </w:rPr>
            </w:pPr>
            <w:r>
              <w:rPr>
                <w:rFonts w:hint="eastAsia"/>
                <w:color w:val="000000" w:themeColor="text1"/>
                <w:sz w:val="18"/>
                <w:szCs w:val="18"/>
              </w:rPr>
              <w:t>TB0000001</w:t>
            </w:r>
          </w:p>
        </w:tc>
        <w:tc>
          <w:tcPr>
            <w:tcW w:w="639" w:type="dxa"/>
            <w:vAlign w:val="center"/>
          </w:tcPr>
          <w:p>
            <w:pPr>
              <w:jc w:val="center"/>
              <w:rPr>
                <w:color w:val="000000" w:themeColor="text1"/>
                <w:sz w:val="18"/>
                <w:szCs w:val="18"/>
              </w:rPr>
            </w:pPr>
            <w:r>
              <w:rPr>
                <w:color w:val="000000" w:themeColor="text1"/>
                <w:sz w:val="18"/>
                <w:szCs w:val="18"/>
              </w:rPr>
              <w:t>2</w:t>
            </w:r>
          </w:p>
        </w:tc>
        <w:tc>
          <w:tcPr>
            <w:tcW w:w="683" w:type="dxa"/>
            <w:vAlign w:val="center"/>
          </w:tcPr>
          <w:p>
            <w:pPr>
              <w:jc w:val="center"/>
              <w:rPr>
                <w:color w:val="000000" w:themeColor="text1"/>
                <w:sz w:val="18"/>
                <w:szCs w:val="18"/>
              </w:rPr>
            </w:pPr>
            <w:r>
              <w:rPr>
                <w:color w:val="000000" w:themeColor="text1"/>
                <w:sz w:val="18"/>
                <w:szCs w:val="18"/>
              </w:rPr>
              <w:t>1</w:t>
            </w:r>
          </w:p>
        </w:tc>
        <w:tc>
          <w:tcPr>
            <w:tcW w:w="1134" w:type="dxa"/>
            <w:vAlign w:val="center"/>
          </w:tcPr>
          <w:p>
            <w:pPr>
              <w:jc w:val="center"/>
              <w:rPr>
                <w:color w:val="000000" w:themeColor="text1"/>
                <w:sz w:val="18"/>
                <w:szCs w:val="18"/>
              </w:rPr>
            </w:pPr>
            <w:r>
              <w:rPr>
                <w:rFonts w:hint="eastAsia"/>
                <w:color w:val="000000" w:themeColor="text1"/>
                <w:sz w:val="18"/>
                <w:szCs w:val="18"/>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5" w:hRule="atLeast"/>
          <w:jc w:val="center"/>
        </w:trPr>
        <w:tc>
          <w:tcPr>
            <w:tcW w:w="1149" w:type="dxa"/>
            <w:vMerge w:val="continue"/>
            <w:vAlign w:val="center"/>
          </w:tcPr>
          <w:p>
            <w:pPr>
              <w:jc w:val="center"/>
              <w:rPr>
                <w:b/>
                <w:color w:val="000000" w:themeColor="text1"/>
                <w:sz w:val="18"/>
                <w:szCs w:val="18"/>
              </w:rPr>
            </w:pPr>
          </w:p>
        </w:tc>
        <w:tc>
          <w:tcPr>
            <w:tcW w:w="1707" w:type="dxa"/>
            <w:vMerge w:val="continue"/>
          </w:tcPr>
          <w:p>
            <w:pPr>
              <w:rPr>
                <w:b/>
                <w:color w:val="000000" w:themeColor="text1"/>
                <w:sz w:val="18"/>
                <w:szCs w:val="18"/>
              </w:rPr>
            </w:pPr>
          </w:p>
        </w:tc>
        <w:tc>
          <w:tcPr>
            <w:tcW w:w="3107" w:type="dxa"/>
            <w:vAlign w:val="center"/>
          </w:tcPr>
          <w:p>
            <w:pPr>
              <w:jc w:val="left"/>
              <w:rPr>
                <w:color w:val="000000" w:themeColor="text1"/>
                <w:sz w:val="18"/>
                <w:szCs w:val="18"/>
              </w:rPr>
            </w:pPr>
            <w:r>
              <w:rPr>
                <w:rFonts w:hint="eastAsia"/>
                <w:color w:val="000000" w:themeColor="text1"/>
                <w:sz w:val="18"/>
                <w:szCs w:val="18"/>
              </w:rPr>
              <w:t>学术英语阅读与写作</w:t>
            </w:r>
          </w:p>
        </w:tc>
        <w:tc>
          <w:tcPr>
            <w:tcW w:w="1203" w:type="dxa"/>
            <w:vAlign w:val="center"/>
          </w:tcPr>
          <w:p>
            <w:pPr>
              <w:jc w:val="center"/>
              <w:rPr>
                <w:rFonts w:hint="eastAsia"/>
                <w:color w:val="000000" w:themeColor="text1"/>
                <w:sz w:val="18"/>
                <w:szCs w:val="18"/>
              </w:rPr>
            </w:pPr>
            <w:r>
              <w:rPr>
                <w:rFonts w:hint="eastAsia"/>
                <w:color w:val="000000" w:themeColor="text1"/>
                <w:sz w:val="18"/>
                <w:szCs w:val="18"/>
              </w:rPr>
              <w:t>TB0000002</w:t>
            </w:r>
          </w:p>
        </w:tc>
        <w:tc>
          <w:tcPr>
            <w:tcW w:w="639" w:type="dxa"/>
            <w:vAlign w:val="center"/>
          </w:tcPr>
          <w:p>
            <w:pPr>
              <w:jc w:val="center"/>
              <w:rPr>
                <w:color w:val="000000" w:themeColor="text1"/>
                <w:sz w:val="18"/>
                <w:szCs w:val="18"/>
              </w:rPr>
            </w:pPr>
            <w:r>
              <w:rPr>
                <w:rFonts w:hint="eastAsia"/>
                <w:color w:val="000000" w:themeColor="text1"/>
                <w:sz w:val="18"/>
                <w:szCs w:val="18"/>
              </w:rPr>
              <w:t>3</w:t>
            </w:r>
          </w:p>
        </w:tc>
        <w:tc>
          <w:tcPr>
            <w:tcW w:w="683" w:type="dxa"/>
            <w:vAlign w:val="center"/>
          </w:tcPr>
          <w:p>
            <w:pPr>
              <w:jc w:val="center"/>
              <w:rPr>
                <w:color w:val="000000" w:themeColor="text1"/>
                <w:sz w:val="18"/>
                <w:szCs w:val="18"/>
              </w:rPr>
            </w:pPr>
            <w:r>
              <w:rPr>
                <w:color w:val="000000" w:themeColor="text1"/>
                <w:sz w:val="18"/>
                <w:szCs w:val="18"/>
              </w:rPr>
              <w:t>1</w:t>
            </w:r>
          </w:p>
        </w:tc>
        <w:tc>
          <w:tcPr>
            <w:tcW w:w="1134" w:type="dxa"/>
            <w:vAlign w:val="center"/>
          </w:tcPr>
          <w:p>
            <w:pPr>
              <w:jc w:val="center"/>
              <w:rPr>
                <w:color w:val="000000" w:themeColor="text1"/>
                <w:sz w:val="18"/>
                <w:szCs w:val="18"/>
              </w:rPr>
            </w:pPr>
            <w:r>
              <w:rPr>
                <w:rFonts w:hint="eastAsia"/>
                <w:color w:val="000000" w:themeColor="text1"/>
                <w:sz w:val="18"/>
                <w:szCs w:val="18"/>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1149" w:type="dxa"/>
            <w:vMerge w:val="continue"/>
            <w:vAlign w:val="center"/>
          </w:tcPr>
          <w:p>
            <w:pPr>
              <w:jc w:val="center"/>
              <w:rPr>
                <w:b/>
                <w:color w:val="000000" w:themeColor="text1"/>
                <w:sz w:val="18"/>
                <w:szCs w:val="18"/>
              </w:rPr>
            </w:pPr>
          </w:p>
        </w:tc>
        <w:tc>
          <w:tcPr>
            <w:tcW w:w="1707" w:type="dxa"/>
            <w:vMerge w:val="restart"/>
            <w:vAlign w:val="center"/>
          </w:tcPr>
          <w:p>
            <w:pPr>
              <w:adjustRightInd w:val="0"/>
              <w:jc w:val="center"/>
              <w:rPr>
                <w:b/>
                <w:color w:val="000000" w:themeColor="text1"/>
                <w:sz w:val="18"/>
                <w:szCs w:val="18"/>
              </w:rPr>
            </w:pPr>
            <w:r>
              <w:rPr>
                <w:b/>
                <w:color w:val="000000" w:themeColor="text1"/>
                <w:sz w:val="18"/>
                <w:szCs w:val="18"/>
              </w:rPr>
              <w:t>专业必修课</w:t>
            </w:r>
          </w:p>
        </w:tc>
        <w:tc>
          <w:tcPr>
            <w:tcW w:w="3107" w:type="dxa"/>
            <w:vAlign w:val="center"/>
          </w:tcPr>
          <w:p>
            <w:pPr>
              <w:rPr>
                <w:color w:val="000000" w:themeColor="text1"/>
                <w:sz w:val="18"/>
                <w:szCs w:val="18"/>
              </w:rPr>
            </w:pPr>
            <w:r>
              <w:rPr>
                <w:color w:val="000000" w:themeColor="text1"/>
                <w:sz w:val="18"/>
                <w:szCs w:val="18"/>
              </w:rPr>
              <w:t>文献阅读与论文写作</w:t>
            </w:r>
          </w:p>
        </w:tc>
        <w:tc>
          <w:tcPr>
            <w:tcW w:w="1203" w:type="dxa"/>
            <w:vAlign w:val="center"/>
          </w:tcPr>
          <w:p>
            <w:pPr>
              <w:jc w:val="center"/>
              <w:rPr>
                <w:rFonts w:hint="eastAsia"/>
                <w:color w:val="000000" w:themeColor="text1"/>
                <w:sz w:val="18"/>
                <w:szCs w:val="18"/>
              </w:rPr>
            </w:pPr>
            <w:r>
              <w:rPr>
                <w:rFonts w:hint="eastAsia"/>
                <w:color w:val="000000" w:themeColor="text1"/>
                <w:sz w:val="18"/>
                <w:szCs w:val="18"/>
                <w:lang w:val="en-US" w:eastAsia="zh-CN"/>
              </w:rPr>
              <w:t>XB0600001</w:t>
            </w:r>
          </w:p>
        </w:tc>
        <w:tc>
          <w:tcPr>
            <w:tcW w:w="639" w:type="dxa"/>
            <w:vAlign w:val="center"/>
          </w:tcPr>
          <w:p>
            <w:pPr>
              <w:jc w:val="center"/>
              <w:rPr>
                <w:color w:val="FF0000"/>
                <w:sz w:val="18"/>
                <w:szCs w:val="18"/>
              </w:rPr>
            </w:pPr>
            <w:r>
              <w:rPr>
                <w:rFonts w:hint="eastAsia"/>
                <w:i w:val="0"/>
                <w:iCs w:val="0"/>
                <w:color w:val="000000" w:themeColor="text1"/>
                <w:sz w:val="18"/>
                <w:szCs w:val="18"/>
              </w:rPr>
              <w:t>3</w:t>
            </w:r>
          </w:p>
        </w:tc>
        <w:tc>
          <w:tcPr>
            <w:tcW w:w="683" w:type="dxa"/>
            <w:vAlign w:val="center"/>
          </w:tcPr>
          <w:p>
            <w:pPr>
              <w:jc w:val="center"/>
              <w:rPr>
                <w:color w:val="000000" w:themeColor="text1"/>
                <w:sz w:val="18"/>
                <w:szCs w:val="18"/>
              </w:rPr>
            </w:pPr>
            <w:r>
              <w:rPr>
                <w:rFonts w:hint="eastAsia"/>
                <w:i w:val="0"/>
                <w:iCs w:val="0"/>
                <w:color w:val="000000" w:themeColor="text1"/>
                <w:sz w:val="18"/>
                <w:szCs w:val="18"/>
              </w:rPr>
              <w:t>1</w:t>
            </w:r>
          </w:p>
        </w:tc>
        <w:tc>
          <w:tcPr>
            <w:tcW w:w="1134" w:type="dxa"/>
            <w:vAlign w:val="center"/>
          </w:tcPr>
          <w:p>
            <w:pPr>
              <w:jc w:val="center"/>
              <w:rPr>
                <w:rFonts w:hint="default"/>
                <w:color w:val="auto"/>
                <w:sz w:val="18"/>
                <w:szCs w:val="18"/>
                <w:lang w:val="en-US" w:eastAsia="zh-CN"/>
              </w:rPr>
            </w:pPr>
            <w:r>
              <w:rPr>
                <w:rFonts w:hint="eastAsia"/>
                <w:color w:val="auto"/>
                <w:sz w:val="18"/>
                <w:szCs w:val="18"/>
                <w:lang w:val="en-US" w:eastAsia="zh-CN"/>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vAlign w:val="center"/>
          </w:tcPr>
          <w:p>
            <w:pPr>
              <w:jc w:val="center"/>
              <w:rPr>
                <w:b/>
                <w:color w:val="000000" w:themeColor="text1"/>
                <w:sz w:val="18"/>
                <w:szCs w:val="18"/>
              </w:rPr>
            </w:pPr>
          </w:p>
        </w:tc>
        <w:tc>
          <w:tcPr>
            <w:tcW w:w="1707" w:type="dxa"/>
            <w:vMerge w:val="continue"/>
          </w:tcPr>
          <w:p>
            <w:pPr>
              <w:adjustRightInd w:val="0"/>
              <w:jc w:val="center"/>
              <w:rPr>
                <w:b/>
                <w:color w:val="000000" w:themeColor="text1"/>
                <w:sz w:val="18"/>
                <w:szCs w:val="18"/>
              </w:rPr>
            </w:pPr>
          </w:p>
        </w:tc>
        <w:tc>
          <w:tcPr>
            <w:tcW w:w="3107" w:type="dxa"/>
            <w:vAlign w:val="center"/>
          </w:tcPr>
          <w:p>
            <w:pPr>
              <w:adjustRightInd w:val="0"/>
              <w:snapToGrid w:val="0"/>
              <w:rPr>
                <w:b/>
                <w:i/>
                <w:color w:val="FF0000"/>
                <w:sz w:val="18"/>
                <w:szCs w:val="18"/>
              </w:rPr>
            </w:pPr>
            <w:r>
              <w:rPr>
                <w:color w:val="000000" w:themeColor="text1"/>
                <w:sz w:val="18"/>
                <w:szCs w:val="18"/>
              </w:rPr>
              <w:t>教育科学研究方法</w:t>
            </w:r>
          </w:p>
        </w:tc>
        <w:tc>
          <w:tcPr>
            <w:tcW w:w="1203" w:type="dxa"/>
            <w:vAlign w:val="center"/>
          </w:tcPr>
          <w:p>
            <w:pPr>
              <w:jc w:val="center"/>
              <w:rPr>
                <w:rFonts w:hint="eastAsia"/>
                <w:color w:val="000000" w:themeColor="text1"/>
                <w:sz w:val="18"/>
                <w:szCs w:val="18"/>
              </w:rPr>
            </w:pPr>
            <w:r>
              <w:rPr>
                <w:rFonts w:hint="eastAsia"/>
                <w:color w:val="000000" w:themeColor="text1"/>
                <w:sz w:val="18"/>
                <w:szCs w:val="18"/>
                <w:lang w:val="en-US" w:eastAsia="zh-CN"/>
              </w:rPr>
              <w:t>XB0600002</w:t>
            </w:r>
          </w:p>
        </w:tc>
        <w:tc>
          <w:tcPr>
            <w:tcW w:w="639" w:type="dxa"/>
            <w:vAlign w:val="center"/>
          </w:tcPr>
          <w:p>
            <w:pPr>
              <w:jc w:val="center"/>
              <w:rPr>
                <w:color w:val="FF0000"/>
                <w:sz w:val="18"/>
                <w:szCs w:val="18"/>
              </w:rPr>
            </w:pPr>
            <w:r>
              <w:rPr>
                <w:rFonts w:hint="eastAsia"/>
                <w:i w:val="0"/>
                <w:iCs w:val="0"/>
                <w:color w:val="000000" w:themeColor="text1"/>
                <w:sz w:val="18"/>
                <w:szCs w:val="18"/>
              </w:rPr>
              <w:t>3</w:t>
            </w:r>
          </w:p>
        </w:tc>
        <w:tc>
          <w:tcPr>
            <w:tcW w:w="683" w:type="dxa"/>
            <w:vAlign w:val="center"/>
          </w:tcPr>
          <w:p>
            <w:pPr>
              <w:jc w:val="center"/>
              <w:rPr>
                <w:color w:val="000000" w:themeColor="text1"/>
                <w:sz w:val="18"/>
                <w:szCs w:val="18"/>
              </w:rPr>
            </w:pPr>
            <w:r>
              <w:rPr>
                <w:rFonts w:hint="eastAsia"/>
                <w:i w:val="0"/>
                <w:iCs w:val="0"/>
                <w:color w:val="000000" w:themeColor="text1"/>
                <w:sz w:val="18"/>
                <w:szCs w:val="18"/>
              </w:rPr>
              <w:t>1</w:t>
            </w:r>
          </w:p>
        </w:tc>
        <w:tc>
          <w:tcPr>
            <w:tcW w:w="1134" w:type="dxa"/>
            <w:vAlign w:val="center"/>
          </w:tcPr>
          <w:p>
            <w:pPr>
              <w:jc w:val="center"/>
              <w:rPr>
                <w:rFonts w:hint="default"/>
                <w:color w:val="auto"/>
                <w:sz w:val="18"/>
                <w:szCs w:val="18"/>
                <w:lang w:val="en-US" w:eastAsia="zh-CN"/>
              </w:rPr>
            </w:pPr>
            <w:r>
              <w:rPr>
                <w:rFonts w:hint="eastAsia"/>
                <w:color w:val="auto"/>
                <w:sz w:val="18"/>
                <w:szCs w:val="18"/>
                <w:lang w:val="en-US" w:eastAsia="zh-CN"/>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3" w:hRule="atLeast"/>
          <w:jc w:val="center"/>
        </w:trPr>
        <w:tc>
          <w:tcPr>
            <w:tcW w:w="1149" w:type="dxa"/>
            <w:vMerge w:val="restart"/>
            <w:vAlign w:val="center"/>
          </w:tcPr>
          <w:p>
            <w:pPr>
              <w:jc w:val="center"/>
              <w:rPr>
                <w:b/>
                <w:color w:val="000000" w:themeColor="text1"/>
                <w:sz w:val="18"/>
                <w:szCs w:val="18"/>
              </w:rPr>
            </w:pPr>
            <w:r>
              <w:rPr>
                <w:b/>
                <w:color w:val="000000" w:themeColor="text1"/>
                <w:sz w:val="18"/>
                <w:szCs w:val="18"/>
              </w:rPr>
              <w:t>非</w:t>
            </w:r>
          </w:p>
          <w:p>
            <w:pPr>
              <w:jc w:val="center"/>
              <w:rPr>
                <w:b/>
                <w:color w:val="000000" w:themeColor="text1"/>
                <w:sz w:val="18"/>
                <w:szCs w:val="18"/>
              </w:rPr>
            </w:pPr>
            <w:r>
              <w:rPr>
                <w:b/>
                <w:color w:val="000000" w:themeColor="text1"/>
                <w:sz w:val="18"/>
                <w:szCs w:val="18"/>
              </w:rPr>
              <w:t>学</w:t>
            </w:r>
          </w:p>
          <w:p>
            <w:pPr>
              <w:jc w:val="center"/>
              <w:rPr>
                <w:b/>
                <w:color w:val="000000" w:themeColor="text1"/>
                <w:sz w:val="18"/>
                <w:szCs w:val="18"/>
              </w:rPr>
            </w:pPr>
            <w:r>
              <w:rPr>
                <w:b/>
                <w:color w:val="000000" w:themeColor="text1"/>
                <w:sz w:val="18"/>
                <w:szCs w:val="18"/>
              </w:rPr>
              <w:t>位</w:t>
            </w:r>
          </w:p>
          <w:p>
            <w:pPr>
              <w:jc w:val="center"/>
              <w:rPr>
                <w:b/>
                <w:color w:val="000000" w:themeColor="text1"/>
                <w:sz w:val="18"/>
                <w:szCs w:val="18"/>
              </w:rPr>
            </w:pPr>
            <w:r>
              <w:rPr>
                <w:b/>
                <w:color w:val="000000" w:themeColor="text1"/>
                <w:sz w:val="18"/>
                <w:szCs w:val="18"/>
              </w:rPr>
              <w:t>课</w:t>
            </w:r>
          </w:p>
          <w:p>
            <w:pPr>
              <w:jc w:val="center"/>
              <w:rPr>
                <w:b/>
                <w:color w:val="000000" w:themeColor="text1"/>
                <w:sz w:val="18"/>
                <w:szCs w:val="18"/>
              </w:rPr>
            </w:pPr>
            <w:r>
              <w:rPr>
                <w:rFonts w:hint="eastAsia"/>
                <w:b/>
                <w:color w:val="000000" w:themeColor="text1"/>
                <w:sz w:val="18"/>
                <w:szCs w:val="18"/>
              </w:rPr>
              <w:t>(</w:t>
            </w:r>
            <w:r>
              <w:rPr>
                <w:rFonts w:hint="eastAsia"/>
                <w:b/>
                <w:color w:val="000000" w:themeColor="text1"/>
                <w:sz w:val="18"/>
                <w:szCs w:val="18"/>
                <w:lang w:val="en-US" w:eastAsia="zh-CN"/>
              </w:rPr>
              <w:t>10</w:t>
            </w:r>
            <w:r>
              <w:rPr>
                <w:rFonts w:hint="eastAsia"/>
                <w:b/>
                <w:color w:val="000000" w:themeColor="text1"/>
                <w:sz w:val="18"/>
                <w:szCs w:val="18"/>
              </w:rPr>
              <w:t>学分)</w:t>
            </w:r>
          </w:p>
        </w:tc>
        <w:tc>
          <w:tcPr>
            <w:tcW w:w="1707" w:type="dxa"/>
            <w:vMerge w:val="restart"/>
            <w:vAlign w:val="center"/>
          </w:tcPr>
          <w:p>
            <w:pPr>
              <w:adjustRightInd w:val="0"/>
              <w:jc w:val="center"/>
              <w:rPr>
                <w:rFonts w:hint="default" w:eastAsia="宋体"/>
                <w:b/>
                <w:color w:val="000000" w:themeColor="text1"/>
                <w:sz w:val="18"/>
                <w:szCs w:val="18"/>
                <w:lang w:val="en-US" w:eastAsia="zh-CN"/>
              </w:rPr>
            </w:pPr>
            <w:r>
              <w:rPr>
                <w:rFonts w:hint="eastAsia"/>
                <w:b/>
                <w:color w:val="000000" w:themeColor="text1"/>
                <w:sz w:val="18"/>
                <w:szCs w:val="18"/>
              </w:rPr>
              <w:t>公共通识课</w:t>
            </w:r>
          </w:p>
        </w:tc>
        <w:tc>
          <w:tcPr>
            <w:tcW w:w="3107" w:type="dxa"/>
            <w:vAlign w:val="center"/>
          </w:tcPr>
          <w:p>
            <w:pPr>
              <w:jc w:val="left"/>
              <w:rPr>
                <w:color w:val="000000" w:themeColor="text1"/>
                <w:sz w:val="18"/>
                <w:szCs w:val="18"/>
              </w:rPr>
            </w:pPr>
            <w:r>
              <w:rPr>
                <w:color w:val="000000" w:themeColor="text1"/>
                <w:sz w:val="18"/>
                <w:szCs w:val="18"/>
              </w:rPr>
              <w:t>《习近平谈治国理政》研读</w:t>
            </w:r>
          </w:p>
        </w:tc>
        <w:tc>
          <w:tcPr>
            <w:tcW w:w="1203" w:type="dxa"/>
            <w:vAlign w:val="center"/>
          </w:tcPr>
          <w:p>
            <w:pPr>
              <w:jc w:val="center"/>
              <w:rPr>
                <w:rFonts w:hint="eastAsia"/>
                <w:color w:val="000000" w:themeColor="text1"/>
                <w:sz w:val="18"/>
                <w:szCs w:val="18"/>
              </w:rPr>
            </w:pPr>
            <w:r>
              <w:rPr>
                <w:rFonts w:hint="eastAsia"/>
                <w:color w:val="000000" w:themeColor="text1"/>
                <w:sz w:val="18"/>
                <w:szCs w:val="18"/>
              </w:rPr>
              <w:t>TT0000101</w:t>
            </w:r>
          </w:p>
        </w:tc>
        <w:tc>
          <w:tcPr>
            <w:tcW w:w="639"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683"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1134" w:type="dxa"/>
            <w:vAlign w:val="center"/>
          </w:tcPr>
          <w:p>
            <w:pPr>
              <w:jc w:val="left"/>
              <w:rPr>
                <w:color w:val="000000" w:themeColor="text1"/>
                <w:sz w:val="18"/>
                <w:szCs w:val="18"/>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jc w:val="left"/>
              <w:rPr>
                <w:color w:val="000000" w:themeColor="text1"/>
                <w:sz w:val="18"/>
                <w:szCs w:val="18"/>
              </w:rPr>
            </w:pPr>
            <w:r>
              <w:rPr>
                <w:color w:val="000000" w:themeColor="text1"/>
                <w:sz w:val="18"/>
                <w:szCs w:val="18"/>
              </w:rPr>
              <w:t>马克思主义经典著作选读</w:t>
            </w:r>
          </w:p>
        </w:tc>
        <w:tc>
          <w:tcPr>
            <w:tcW w:w="1203" w:type="dxa"/>
            <w:vAlign w:val="center"/>
          </w:tcPr>
          <w:p>
            <w:pPr>
              <w:jc w:val="center"/>
              <w:rPr>
                <w:rFonts w:hint="eastAsia"/>
                <w:color w:val="000000" w:themeColor="text1"/>
                <w:sz w:val="18"/>
                <w:szCs w:val="18"/>
              </w:rPr>
            </w:pPr>
            <w:r>
              <w:rPr>
                <w:rFonts w:hint="eastAsia"/>
                <w:color w:val="000000" w:themeColor="text1"/>
                <w:sz w:val="18"/>
                <w:szCs w:val="18"/>
              </w:rPr>
              <w:t>TB0000101</w:t>
            </w:r>
          </w:p>
        </w:tc>
        <w:tc>
          <w:tcPr>
            <w:tcW w:w="639"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683"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1134" w:type="dxa"/>
            <w:vAlign w:val="center"/>
          </w:tcPr>
          <w:p>
            <w:pPr>
              <w:jc w:val="left"/>
              <w:rPr>
                <w:color w:val="000000" w:themeColor="text1"/>
                <w:sz w:val="18"/>
                <w:szCs w:val="18"/>
              </w:rPr>
            </w:pPr>
            <w:r>
              <w:rPr>
                <w:rFonts w:hint="eastAsia"/>
                <w:color w:val="000000" w:themeColor="text1"/>
                <w:sz w:val="18"/>
                <w:szCs w:val="18"/>
              </w:rPr>
              <w:t>通修/考试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jc w:val="left"/>
              <w:rPr>
                <w:color w:val="000000" w:themeColor="text1"/>
                <w:sz w:val="18"/>
                <w:szCs w:val="18"/>
              </w:rPr>
            </w:pPr>
            <w:r>
              <w:rPr>
                <w:rFonts w:hint="eastAsia"/>
                <w:color w:val="000000" w:themeColor="text1"/>
                <w:sz w:val="18"/>
                <w:szCs w:val="18"/>
              </w:rPr>
              <w:t>体育</w:t>
            </w:r>
          </w:p>
        </w:tc>
        <w:tc>
          <w:tcPr>
            <w:tcW w:w="1203" w:type="dxa"/>
            <w:vAlign w:val="center"/>
          </w:tcPr>
          <w:p>
            <w:pPr>
              <w:jc w:val="center"/>
              <w:rPr>
                <w:rFonts w:hint="eastAsia"/>
                <w:color w:val="000000" w:themeColor="text1"/>
                <w:sz w:val="18"/>
                <w:szCs w:val="18"/>
              </w:rPr>
            </w:pPr>
            <w:r>
              <w:rPr>
                <w:rFonts w:hint="eastAsia"/>
                <w:color w:val="000000" w:themeColor="text1"/>
                <w:sz w:val="18"/>
                <w:szCs w:val="18"/>
              </w:rPr>
              <w:t>TT0000102</w:t>
            </w:r>
          </w:p>
        </w:tc>
        <w:tc>
          <w:tcPr>
            <w:tcW w:w="639"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683"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1134" w:type="dxa"/>
            <w:vAlign w:val="center"/>
          </w:tcPr>
          <w:p>
            <w:pPr>
              <w:jc w:val="left"/>
              <w:rPr>
                <w:color w:val="000000" w:themeColor="text1"/>
                <w:sz w:val="18"/>
                <w:szCs w:val="18"/>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jc w:val="left"/>
              <w:rPr>
                <w:color w:val="000000" w:themeColor="text1"/>
                <w:sz w:val="18"/>
                <w:szCs w:val="18"/>
              </w:rPr>
            </w:pPr>
            <w:r>
              <w:rPr>
                <w:rFonts w:hint="eastAsia"/>
                <w:color w:val="000000" w:themeColor="text1"/>
                <w:sz w:val="18"/>
                <w:szCs w:val="18"/>
              </w:rPr>
              <w:t>美育</w:t>
            </w:r>
          </w:p>
        </w:tc>
        <w:tc>
          <w:tcPr>
            <w:tcW w:w="1203" w:type="dxa"/>
            <w:vAlign w:val="center"/>
          </w:tcPr>
          <w:p>
            <w:pPr>
              <w:jc w:val="center"/>
              <w:rPr>
                <w:rFonts w:hint="eastAsia"/>
                <w:color w:val="000000" w:themeColor="text1"/>
                <w:sz w:val="18"/>
                <w:szCs w:val="18"/>
              </w:rPr>
            </w:pPr>
            <w:r>
              <w:rPr>
                <w:rFonts w:hint="eastAsia"/>
                <w:color w:val="000000" w:themeColor="text1"/>
                <w:sz w:val="18"/>
                <w:szCs w:val="18"/>
              </w:rPr>
              <w:t>TT0000103</w:t>
            </w:r>
          </w:p>
        </w:tc>
        <w:tc>
          <w:tcPr>
            <w:tcW w:w="639"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683" w:type="dxa"/>
            <w:vAlign w:val="center"/>
          </w:tcPr>
          <w:p>
            <w:pPr>
              <w:jc w:val="center"/>
              <w:rPr>
                <w:rFonts w:hint="eastAsia"/>
                <w:i w:val="0"/>
                <w:iCs w:val="0"/>
                <w:color w:val="000000" w:themeColor="text1"/>
                <w:sz w:val="18"/>
                <w:szCs w:val="18"/>
              </w:rPr>
            </w:pPr>
            <w:r>
              <w:rPr>
                <w:rFonts w:hint="eastAsia"/>
                <w:i w:val="0"/>
                <w:iCs w:val="0"/>
                <w:color w:val="000000" w:themeColor="text1"/>
                <w:sz w:val="18"/>
                <w:szCs w:val="18"/>
              </w:rPr>
              <w:t>1</w:t>
            </w:r>
          </w:p>
        </w:tc>
        <w:tc>
          <w:tcPr>
            <w:tcW w:w="1134" w:type="dxa"/>
            <w:vAlign w:val="center"/>
          </w:tcPr>
          <w:p>
            <w:pPr>
              <w:jc w:val="left"/>
              <w:rPr>
                <w:color w:val="000000" w:themeColor="text1"/>
                <w:sz w:val="18"/>
                <w:szCs w:val="18"/>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bookmarkStart w:id="1" w:name="_GoBack" w:colFirst="1" w:colLast="6"/>
          </w:p>
        </w:tc>
        <w:tc>
          <w:tcPr>
            <w:tcW w:w="1707" w:type="dxa"/>
            <w:vMerge w:val="restart"/>
            <w:vAlign w:val="center"/>
          </w:tcPr>
          <w:p>
            <w:pPr>
              <w:adjustRightInd w:val="0"/>
              <w:jc w:val="center"/>
              <w:rPr>
                <w:rFonts w:hint="eastAsia"/>
                <w:b/>
                <w:color w:val="000000" w:themeColor="text1"/>
                <w:sz w:val="18"/>
                <w:szCs w:val="18"/>
                <w:highlight w:val="yellow"/>
                <w:lang w:val="en-US" w:eastAsia="zh-CN"/>
              </w:rPr>
            </w:pPr>
            <w:r>
              <w:rPr>
                <w:rFonts w:hint="eastAsia"/>
                <w:b/>
                <w:color w:val="000000" w:themeColor="text1"/>
                <w:sz w:val="18"/>
                <w:szCs w:val="18"/>
                <w:highlight w:val="yellow"/>
                <w:lang w:val="en-US" w:eastAsia="zh-CN"/>
              </w:rPr>
              <w:t>教育学原理方向课</w:t>
            </w:r>
          </w:p>
          <w:p>
            <w:pPr>
              <w:adjustRightInd w:val="0"/>
              <w:jc w:val="center"/>
              <w:rPr>
                <w:b/>
                <w:color w:val="000000" w:themeColor="text1"/>
                <w:sz w:val="18"/>
                <w:szCs w:val="18"/>
                <w:highlight w:val="yellow"/>
              </w:rPr>
            </w:pPr>
            <w:r>
              <w:rPr>
                <w:rFonts w:hint="eastAsia"/>
                <w:b/>
                <w:color w:val="000000" w:themeColor="text1"/>
                <w:sz w:val="18"/>
                <w:szCs w:val="18"/>
                <w:highlight w:val="yellow"/>
                <w:lang w:val="en-US" w:eastAsia="zh-CN"/>
              </w:rPr>
              <w:t>（该方向研究生至少修读6学分）</w:t>
            </w:r>
          </w:p>
        </w:tc>
        <w:tc>
          <w:tcPr>
            <w:tcW w:w="3107"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教育哲学</w:t>
            </w:r>
          </w:p>
        </w:tc>
        <w:tc>
          <w:tcPr>
            <w:tcW w:w="1203" w:type="dxa"/>
            <w:vAlign w:val="center"/>
          </w:tcPr>
          <w:p>
            <w:pPr>
              <w:jc w:val="center"/>
              <w:rPr>
                <w:rFonts w:hint="eastAsia"/>
                <w:color w:val="000000" w:themeColor="text1"/>
                <w:sz w:val="18"/>
                <w:szCs w:val="18"/>
                <w:highlight w:val="yellow"/>
                <w:lang w:val="en-US" w:eastAsia="zh-CN"/>
              </w:rPr>
            </w:pPr>
            <w:r>
              <w:rPr>
                <w:rFonts w:hint="eastAsia"/>
                <w:color w:val="000000" w:themeColor="text1"/>
                <w:sz w:val="18"/>
                <w:szCs w:val="18"/>
                <w:highlight w:val="yellow"/>
                <w:lang w:val="en-US" w:eastAsia="zh-CN"/>
              </w:rPr>
              <w:t>XB0601101</w:t>
            </w:r>
          </w:p>
        </w:tc>
        <w:tc>
          <w:tcPr>
            <w:tcW w:w="639"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2</w:t>
            </w:r>
          </w:p>
        </w:tc>
        <w:tc>
          <w:tcPr>
            <w:tcW w:w="683"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必修</w:t>
            </w:r>
            <w:r>
              <w:rPr>
                <w:rFonts w:hint="eastAsia" w:asciiTheme="minorEastAsia" w:hAnsiTheme="minorEastAsia" w:eastAsiaTheme="minorEastAsia" w:cstheme="minorEastAsia"/>
                <w:color w:val="000000" w:themeColor="text1"/>
                <w:sz w:val="18"/>
                <w:szCs w:val="18"/>
                <w:highlight w:val="yellow"/>
                <w:lang w:val="en-US" w:eastAsia="zh-CN"/>
              </w:rPr>
              <w:t>/</w:t>
            </w:r>
            <w:r>
              <w:rPr>
                <w:rFonts w:hint="eastAsia" w:asciiTheme="minorEastAsia" w:hAnsiTheme="minorEastAsia" w:eastAsiaTheme="minorEastAsia" w:cstheme="minorEastAsia"/>
                <w:color w:val="000000" w:themeColor="text1"/>
                <w:sz w:val="18"/>
                <w:szCs w:val="18"/>
                <w:highlight w:val="yellow"/>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highlight w:val="yellow"/>
              </w:rPr>
            </w:pPr>
          </w:p>
        </w:tc>
        <w:tc>
          <w:tcPr>
            <w:tcW w:w="3107"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教育经典名著选读</w:t>
            </w:r>
          </w:p>
        </w:tc>
        <w:tc>
          <w:tcPr>
            <w:tcW w:w="1203" w:type="dxa"/>
            <w:vAlign w:val="center"/>
          </w:tcPr>
          <w:p>
            <w:pPr>
              <w:jc w:val="center"/>
              <w:rPr>
                <w:rFonts w:hint="eastAsia"/>
                <w:color w:val="000000" w:themeColor="text1"/>
                <w:sz w:val="18"/>
                <w:szCs w:val="18"/>
                <w:highlight w:val="yellow"/>
                <w:lang w:val="en-US" w:eastAsia="zh-CN"/>
              </w:rPr>
            </w:pPr>
            <w:r>
              <w:rPr>
                <w:rFonts w:hint="eastAsia"/>
                <w:color w:val="000000" w:themeColor="text1"/>
                <w:sz w:val="18"/>
                <w:szCs w:val="18"/>
                <w:highlight w:val="yellow"/>
                <w:lang w:val="en-US" w:eastAsia="zh-CN"/>
              </w:rPr>
              <w:t>XB0601102</w:t>
            </w:r>
          </w:p>
        </w:tc>
        <w:tc>
          <w:tcPr>
            <w:tcW w:w="639"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2</w:t>
            </w:r>
          </w:p>
        </w:tc>
        <w:tc>
          <w:tcPr>
            <w:tcW w:w="683"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必修</w:t>
            </w:r>
            <w:r>
              <w:rPr>
                <w:rFonts w:hint="eastAsia" w:asciiTheme="minorEastAsia" w:hAnsiTheme="minorEastAsia" w:eastAsiaTheme="minorEastAsia" w:cstheme="minorEastAsia"/>
                <w:color w:val="000000" w:themeColor="text1"/>
                <w:sz w:val="18"/>
                <w:szCs w:val="18"/>
                <w:highlight w:val="yellow"/>
                <w:lang w:val="en-US" w:eastAsia="zh-CN"/>
              </w:rPr>
              <w:t>/</w:t>
            </w:r>
            <w:r>
              <w:rPr>
                <w:rFonts w:hint="eastAsia" w:asciiTheme="minorEastAsia" w:hAnsiTheme="minorEastAsia" w:eastAsiaTheme="minorEastAsia" w:cstheme="minorEastAsia"/>
                <w:color w:val="000000" w:themeColor="text1"/>
                <w:sz w:val="18"/>
                <w:szCs w:val="18"/>
                <w:highlight w:val="yellow"/>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highlight w:val="yellow"/>
              </w:rPr>
            </w:pPr>
          </w:p>
        </w:tc>
        <w:tc>
          <w:tcPr>
            <w:tcW w:w="3107"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教育政策与教育改革发展研究专题</w:t>
            </w:r>
          </w:p>
        </w:tc>
        <w:tc>
          <w:tcPr>
            <w:tcW w:w="1203" w:type="dxa"/>
            <w:vAlign w:val="center"/>
          </w:tcPr>
          <w:p>
            <w:pPr>
              <w:jc w:val="center"/>
              <w:rPr>
                <w:rFonts w:hint="eastAsia"/>
                <w:color w:val="000000" w:themeColor="text1"/>
                <w:sz w:val="18"/>
                <w:szCs w:val="18"/>
                <w:highlight w:val="yellow"/>
                <w:lang w:val="en-US" w:eastAsia="zh-CN"/>
              </w:rPr>
            </w:pPr>
            <w:r>
              <w:rPr>
                <w:rFonts w:hint="eastAsia"/>
                <w:color w:val="000000" w:themeColor="text1"/>
                <w:sz w:val="18"/>
                <w:szCs w:val="18"/>
                <w:highlight w:val="yellow"/>
                <w:lang w:val="en-US" w:eastAsia="zh-CN"/>
              </w:rPr>
              <w:t>XB0601103</w:t>
            </w:r>
          </w:p>
        </w:tc>
        <w:tc>
          <w:tcPr>
            <w:tcW w:w="639"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2</w:t>
            </w:r>
          </w:p>
        </w:tc>
        <w:tc>
          <w:tcPr>
            <w:tcW w:w="683" w:type="dxa"/>
            <w:vAlign w:val="center"/>
          </w:tcPr>
          <w:p>
            <w:pPr>
              <w:spacing w:line="240" w:lineRule="auto"/>
              <w:jc w:val="center"/>
              <w:rPr>
                <w:rFonts w:hint="eastAsia" w:asciiTheme="minorEastAsia" w:hAnsiTheme="minorEastAsia" w:eastAsiaTheme="minorEastAsia" w:cstheme="minorEastAsia"/>
                <w:i w:val="0"/>
                <w:iCs w:val="0"/>
                <w:color w:val="000000" w:themeColor="text1"/>
                <w:kern w:val="2"/>
                <w:sz w:val="18"/>
                <w:szCs w:val="18"/>
                <w:highlight w:val="yellow"/>
                <w:lang w:val="en-US" w:eastAsia="zh-CN" w:bidi="ar-SA"/>
              </w:rPr>
            </w:pPr>
            <w:r>
              <w:rPr>
                <w:rFonts w:hint="eastAsia" w:asciiTheme="minorEastAsia" w:hAnsiTheme="minorEastAsia" w:eastAsiaTheme="minorEastAsia" w:cstheme="minorEastAsia"/>
                <w:i w:val="0"/>
                <w:iCs w:val="0"/>
                <w:color w:val="000000" w:themeColor="text1"/>
                <w:sz w:val="18"/>
                <w:szCs w:val="18"/>
                <w:highlight w:val="yellow"/>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highlight w:val="yellow"/>
                <w:lang w:val="en-US" w:eastAsia="zh-CN" w:bidi="ar-SA"/>
              </w:rPr>
            </w:pPr>
            <w:r>
              <w:rPr>
                <w:rFonts w:hint="eastAsia" w:asciiTheme="minorEastAsia" w:hAnsiTheme="minorEastAsia" w:eastAsiaTheme="minorEastAsia" w:cstheme="minorEastAsia"/>
                <w:color w:val="000000" w:themeColor="text1"/>
                <w:sz w:val="18"/>
                <w:szCs w:val="18"/>
                <w:highlight w:val="yellow"/>
              </w:rPr>
              <w:t>必修</w:t>
            </w:r>
            <w:r>
              <w:rPr>
                <w:rFonts w:hint="eastAsia" w:asciiTheme="minorEastAsia" w:hAnsiTheme="minorEastAsia" w:eastAsiaTheme="minorEastAsia" w:cstheme="minorEastAsia"/>
                <w:color w:val="000000" w:themeColor="text1"/>
                <w:sz w:val="18"/>
                <w:szCs w:val="18"/>
                <w:highlight w:val="yellow"/>
                <w:lang w:val="en-US" w:eastAsia="zh-CN"/>
              </w:rPr>
              <w:t>/</w:t>
            </w:r>
            <w:r>
              <w:rPr>
                <w:rFonts w:hint="eastAsia" w:asciiTheme="minorEastAsia" w:hAnsiTheme="minorEastAsia" w:eastAsiaTheme="minorEastAsia" w:cstheme="minorEastAsia"/>
                <w:color w:val="000000" w:themeColor="text1"/>
                <w:sz w:val="18"/>
                <w:szCs w:val="18"/>
                <w:highlight w:val="yellow"/>
              </w:rPr>
              <w:t>考查</w:t>
            </w:r>
          </w:p>
        </w:tc>
      </w:tr>
      <w:bookmarkEnd w:id="1"/>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restart"/>
            <w:vAlign w:val="center"/>
          </w:tcPr>
          <w:p>
            <w:pPr>
              <w:adjustRightInd w:val="0"/>
              <w:jc w:val="center"/>
              <w:rPr>
                <w:rFonts w:hint="eastAsia"/>
                <w:b/>
                <w:color w:val="000000" w:themeColor="text1"/>
                <w:sz w:val="18"/>
                <w:szCs w:val="18"/>
                <w:lang w:val="en-US" w:eastAsia="zh-CN"/>
              </w:rPr>
            </w:pPr>
            <w:r>
              <w:rPr>
                <w:rFonts w:hint="eastAsia"/>
                <w:b/>
                <w:color w:val="000000" w:themeColor="text1"/>
                <w:sz w:val="18"/>
                <w:szCs w:val="18"/>
                <w:lang w:val="en-US" w:eastAsia="zh-CN"/>
              </w:rPr>
              <w:t>教育史方向课</w:t>
            </w:r>
          </w:p>
          <w:p>
            <w:pPr>
              <w:adjustRightInd w:val="0"/>
              <w:jc w:val="center"/>
              <w:rPr>
                <w:b/>
                <w:color w:val="000000" w:themeColor="text1"/>
                <w:sz w:val="18"/>
                <w:szCs w:val="18"/>
              </w:rPr>
            </w:pPr>
            <w:r>
              <w:rPr>
                <w:rFonts w:hint="eastAsia"/>
                <w:b/>
                <w:color w:val="000000" w:themeColor="text1"/>
                <w:sz w:val="18"/>
                <w:szCs w:val="18"/>
                <w:lang w:val="en-US" w:eastAsia="zh-CN"/>
              </w:rPr>
              <w:t>（该方向研究生至少修读6学分）</w:t>
            </w:r>
          </w:p>
        </w:tc>
        <w:tc>
          <w:tcPr>
            <w:tcW w:w="3107" w:type="dxa"/>
            <w:vAlign w:val="center"/>
          </w:tcPr>
          <w:p>
            <w:pPr>
              <w:jc w:val="left"/>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中国教育史专题研究</w:t>
            </w:r>
          </w:p>
        </w:tc>
        <w:tc>
          <w:tcPr>
            <w:tcW w:w="1203"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auto"/>
                <w:sz w:val="18"/>
                <w:szCs w:val="18"/>
                <w:lang w:val="en-US" w:eastAsia="zh-CN"/>
              </w:rPr>
              <w:t>XB0602101</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lang w:val="en-US" w:eastAsia="zh-CN"/>
              </w:rPr>
              <w:t>3</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jc w:val="left"/>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外国教育史专题研究</w:t>
            </w:r>
          </w:p>
        </w:tc>
        <w:tc>
          <w:tcPr>
            <w:tcW w:w="1203" w:type="dxa"/>
            <w:vAlign w:val="center"/>
          </w:tcPr>
          <w:p>
            <w:pPr>
              <w:jc w:val="center"/>
              <w:rPr>
                <w:rFonts w:hint="eastAsia" w:ascii="Times New Roman" w:hAnsi="Times New Roman" w:eastAsia="宋体" w:cs="Times New Roman"/>
                <w:color w:val="FF0000"/>
                <w:kern w:val="2"/>
                <w:sz w:val="18"/>
                <w:szCs w:val="18"/>
                <w:lang w:val="en-US" w:eastAsia="zh-CN" w:bidi="ar-SA"/>
              </w:rPr>
            </w:pPr>
            <w:r>
              <w:rPr>
                <w:rFonts w:hint="eastAsia"/>
                <w:color w:val="auto"/>
                <w:sz w:val="18"/>
                <w:szCs w:val="18"/>
                <w:lang w:val="en-US" w:eastAsia="zh-CN"/>
              </w:rPr>
              <w:t>XB0602102</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lang w:val="en-US" w:eastAsia="zh-CN"/>
              </w:rPr>
              <w:t>3</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restart"/>
            <w:vAlign w:val="center"/>
          </w:tcPr>
          <w:p>
            <w:pPr>
              <w:adjustRightInd w:val="0"/>
              <w:jc w:val="center"/>
              <w:rPr>
                <w:rFonts w:hint="eastAsia"/>
                <w:b/>
                <w:color w:val="000000" w:themeColor="text1"/>
                <w:sz w:val="18"/>
                <w:szCs w:val="18"/>
                <w:lang w:val="en-US" w:eastAsia="zh-CN"/>
              </w:rPr>
            </w:pPr>
            <w:r>
              <w:rPr>
                <w:rFonts w:hint="eastAsia"/>
                <w:b/>
                <w:color w:val="000000" w:themeColor="text1"/>
                <w:sz w:val="18"/>
                <w:szCs w:val="18"/>
                <w:lang w:val="en-US" w:eastAsia="zh-CN"/>
              </w:rPr>
              <w:t>比较教育学方向课</w:t>
            </w:r>
          </w:p>
          <w:p>
            <w:pPr>
              <w:adjustRightInd w:val="0"/>
              <w:jc w:val="center"/>
              <w:rPr>
                <w:b/>
                <w:color w:val="000000" w:themeColor="text1"/>
                <w:sz w:val="18"/>
                <w:szCs w:val="18"/>
              </w:rPr>
            </w:pPr>
            <w:r>
              <w:rPr>
                <w:rFonts w:hint="eastAsia"/>
                <w:b/>
                <w:color w:val="000000" w:themeColor="text1"/>
                <w:sz w:val="18"/>
                <w:szCs w:val="18"/>
                <w:lang w:val="en-US" w:eastAsia="zh-CN"/>
              </w:rPr>
              <w:t>（该方向研究生至少修读6学分）</w:t>
            </w: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比较教育基本理论与政策专题</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XB0603101</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3</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比较教育</w:t>
            </w:r>
            <w:r>
              <w:rPr>
                <w:rFonts w:hint="eastAsia"/>
                <w:color w:val="000000" w:themeColor="text1"/>
                <w:sz w:val="18"/>
                <w:szCs w:val="18"/>
                <w:lang w:val="en-US" w:eastAsia="zh-CN"/>
              </w:rPr>
              <w:t>国别</w:t>
            </w:r>
            <w:r>
              <w:rPr>
                <w:color w:val="000000" w:themeColor="text1"/>
                <w:sz w:val="18"/>
                <w:szCs w:val="18"/>
              </w:rPr>
              <w:t>与专题研究</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XB0603102</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lang w:val="en-US" w:eastAsia="zh-CN"/>
              </w:rPr>
              <w:t>3</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国际教育与</w:t>
            </w:r>
            <w:r>
              <w:rPr>
                <w:rFonts w:hint="eastAsia"/>
                <w:color w:val="000000" w:themeColor="text1"/>
                <w:sz w:val="18"/>
                <w:szCs w:val="18"/>
                <w:lang w:val="en-US" w:eastAsia="zh-CN"/>
              </w:rPr>
              <w:t>发展教育专题</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XB0603103</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restart"/>
            <w:vAlign w:val="center"/>
          </w:tcPr>
          <w:p>
            <w:pPr>
              <w:adjustRightInd w:val="0"/>
              <w:jc w:val="center"/>
              <w:rPr>
                <w:rFonts w:hint="eastAsia"/>
                <w:b/>
                <w:color w:val="000000" w:themeColor="text1"/>
                <w:sz w:val="18"/>
                <w:szCs w:val="18"/>
                <w:lang w:val="en-US" w:eastAsia="zh-CN"/>
              </w:rPr>
            </w:pPr>
            <w:r>
              <w:rPr>
                <w:rFonts w:hint="eastAsia"/>
                <w:b/>
                <w:color w:val="000000" w:themeColor="text1"/>
                <w:sz w:val="18"/>
                <w:szCs w:val="18"/>
                <w:lang w:val="en-US" w:eastAsia="zh-CN"/>
              </w:rPr>
              <w:t>高等教育学方向课</w:t>
            </w:r>
          </w:p>
          <w:p>
            <w:pPr>
              <w:adjustRightInd w:val="0"/>
              <w:jc w:val="center"/>
              <w:rPr>
                <w:b/>
                <w:color w:val="000000" w:themeColor="text1"/>
                <w:sz w:val="18"/>
                <w:szCs w:val="18"/>
              </w:rPr>
            </w:pPr>
            <w:r>
              <w:rPr>
                <w:rFonts w:hint="eastAsia"/>
                <w:b/>
                <w:color w:val="000000" w:themeColor="text1"/>
                <w:sz w:val="18"/>
                <w:szCs w:val="18"/>
                <w:lang w:val="en-US" w:eastAsia="zh-CN"/>
              </w:rPr>
              <w:t>（该方向研究生至少修读6学分）</w:t>
            </w: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多视角下的高等教育专题研究</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XB0604101</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高等教育组织与管理</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XB0604102</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lang w:val="en-US" w:eastAsia="zh-CN"/>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lang w:val="en-US" w:eastAsia="zh-CN"/>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adjustRightInd w:val="0"/>
              <w:snapToGrid w:val="0"/>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高等教育监测与评估</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XB0604103</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restart"/>
            <w:vAlign w:val="center"/>
          </w:tcPr>
          <w:p>
            <w:pPr>
              <w:adjustRightInd w:val="0"/>
              <w:jc w:val="center"/>
              <w:rPr>
                <w:rFonts w:hint="eastAsia"/>
                <w:b/>
                <w:color w:val="000000" w:themeColor="text1"/>
                <w:sz w:val="18"/>
                <w:szCs w:val="18"/>
                <w:lang w:val="en-US" w:eastAsia="zh-CN"/>
              </w:rPr>
            </w:pPr>
            <w:r>
              <w:rPr>
                <w:rFonts w:hint="eastAsia"/>
                <w:b/>
                <w:color w:val="000000" w:themeColor="text1"/>
                <w:sz w:val="18"/>
                <w:szCs w:val="18"/>
              </w:rPr>
              <w:t>教育心理与学生发展</w:t>
            </w:r>
            <w:r>
              <w:rPr>
                <w:rFonts w:hint="eastAsia"/>
                <w:b/>
                <w:color w:val="000000" w:themeColor="text1"/>
                <w:sz w:val="18"/>
                <w:szCs w:val="18"/>
                <w:lang w:val="en-US" w:eastAsia="zh-CN"/>
              </w:rPr>
              <w:t>方向课</w:t>
            </w:r>
          </w:p>
          <w:p>
            <w:pPr>
              <w:adjustRightInd w:val="0"/>
              <w:jc w:val="center"/>
              <w:rPr>
                <w:b/>
                <w:color w:val="000000" w:themeColor="text1"/>
                <w:sz w:val="18"/>
                <w:szCs w:val="18"/>
              </w:rPr>
            </w:pPr>
            <w:r>
              <w:rPr>
                <w:rFonts w:hint="eastAsia"/>
                <w:b/>
                <w:color w:val="000000" w:themeColor="text1"/>
                <w:sz w:val="18"/>
                <w:szCs w:val="18"/>
                <w:lang w:val="en-US" w:eastAsia="zh-CN"/>
              </w:rPr>
              <w:t>（该方向研究生至少修读6学分）</w:t>
            </w:r>
          </w:p>
        </w:tc>
        <w:tc>
          <w:tcPr>
            <w:tcW w:w="3107" w:type="dxa"/>
            <w:vAlign w:val="center"/>
          </w:tcPr>
          <w:p>
            <w:pPr>
              <w:spacing w:line="240" w:lineRule="exact"/>
              <w:jc w:val="left"/>
              <w:textAlignment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学习与发展专题</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XB0605101</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spacing w:line="240" w:lineRule="exact"/>
              <w:jc w:val="left"/>
              <w:textAlignment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教育心理学理论建构与研究设计</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XB0605102</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1149" w:type="dxa"/>
            <w:vMerge w:val="continue"/>
            <w:vAlign w:val="center"/>
          </w:tcPr>
          <w:p>
            <w:pPr>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spacing w:line="240" w:lineRule="exact"/>
              <w:jc w:val="left"/>
              <w:textAlignment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rPr>
              <w:t>高级心理统计</w:t>
            </w:r>
          </w:p>
        </w:tc>
        <w:tc>
          <w:tcPr>
            <w:tcW w:w="1203" w:type="dxa"/>
            <w:vAlign w:val="center"/>
          </w:tcPr>
          <w:p>
            <w:pPr>
              <w:jc w:val="center"/>
              <w:rPr>
                <w:rFonts w:hint="eastAsia" w:ascii="Times New Roman" w:hAnsi="Times New Roman" w:eastAsia="宋体" w:cs="Times New Roman"/>
                <w:i/>
                <w:color w:val="FF0000"/>
                <w:kern w:val="2"/>
                <w:sz w:val="18"/>
                <w:szCs w:val="18"/>
                <w:lang w:val="en-US" w:eastAsia="zh-CN" w:bidi="ar-SA"/>
              </w:rPr>
            </w:pPr>
            <w:r>
              <w:rPr>
                <w:rFonts w:hint="eastAsia"/>
                <w:color w:val="auto"/>
                <w:sz w:val="18"/>
                <w:szCs w:val="18"/>
                <w:lang w:val="en-US" w:eastAsia="zh-CN"/>
              </w:rPr>
              <w:t>XB0605103</w:t>
            </w:r>
          </w:p>
        </w:tc>
        <w:tc>
          <w:tcPr>
            <w:tcW w:w="639" w:type="dxa"/>
            <w:vAlign w:val="center"/>
          </w:tcPr>
          <w:p>
            <w:pPr>
              <w:jc w:val="center"/>
              <w:rPr>
                <w:rFonts w:hint="eastAsia" w:ascii="Times New Roman" w:hAnsi="Times New Roman" w:eastAsia="宋体" w:cs="Times New Roman"/>
                <w:i w:val="0"/>
                <w:iCs w:val="0"/>
                <w:color w:val="auto"/>
                <w:kern w:val="2"/>
                <w:sz w:val="18"/>
                <w:szCs w:val="18"/>
                <w:lang w:val="en-US" w:eastAsia="zh-CN" w:bidi="ar-SA"/>
              </w:rPr>
            </w:pPr>
            <w:r>
              <w:rPr>
                <w:rFonts w:hint="eastAsia"/>
                <w:i w:val="0"/>
                <w:iCs w:val="0"/>
                <w:color w:val="auto"/>
                <w:sz w:val="18"/>
                <w:szCs w:val="18"/>
              </w:rPr>
              <w:t>2</w:t>
            </w:r>
          </w:p>
        </w:tc>
        <w:tc>
          <w:tcPr>
            <w:tcW w:w="683" w:type="dxa"/>
            <w:vAlign w:val="center"/>
          </w:tcPr>
          <w:p>
            <w:pPr>
              <w:jc w:val="center"/>
              <w:rPr>
                <w:rFonts w:hint="eastAsia" w:ascii="Times New Roman" w:hAnsi="Times New Roman" w:eastAsia="宋体" w:cs="Times New Roman"/>
                <w:i w:val="0"/>
                <w:iCs w:val="0"/>
                <w:color w:val="000000" w:themeColor="text1"/>
                <w:kern w:val="2"/>
                <w:sz w:val="18"/>
                <w:szCs w:val="18"/>
                <w:lang w:val="en-US" w:eastAsia="zh-CN" w:bidi="ar-SA"/>
              </w:rPr>
            </w:pPr>
            <w:r>
              <w:rPr>
                <w:rFonts w:hint="eastAsia"/>
                <w:i w:val="0"/>
                <w:iCs w:val="0"/>
                <w:color w:val="000000" w:themeColor="text1"/>
                <w:sz w:val="18"/>
                <w:szCs w:val="18"/>
              </w:rPr>
              <w:t>1</w:t>
            </w:r>
          </w:p>
        </w:tc>
        <w:tc>
          <w:tcPr>
            <w:tcW w:w="1134" w:type="dxa"/>
            <w:vAlign w:val="center"/>
          </w:tcPr>
          <w:p>
            <w:pPr>
              <w:spacing w:line="240" w:lineRule="auto"/>
              <w:jc w:val="left"/>
              <w:rPr>
                <w:rFonts w:hint="eastAsia" w:asciiTheme="minorEastAsia" w:hAnsiTheme="minorEastAsia" w:eastAsiaTheme="minorEastAsia" w:cstheme="minorEastAsia"/>
                <w:color w:val="000000" w:themeColor="text1"/>
                <w:kern w:val="2"/>
                <w:sz w:val="18"/>
                <w:szCs w:val="18"/>
                <w:lang w:val="en-US" w:eastAsia="zh-CN" w:bidi="ar-SA"/>
              </w:rPr>
            </w:pPr>
            <w:r>
              <w:rPr>
                <w:rFonts w:hint="eastAsia" w:asciiTheme="minorEastAsia" w:hAnsiTheme="minorEastAsia" w:eastAsiaTheme="minorEastAsia" w:cstheme="minorEastAsia"/>
                <w:color w:val="000000" w:themeColor="text1"/>
                <w:sz w:val="18"/>
                <w:szCs w:val="18"/>
              </w:rPr>
              <w:t>必修</w:t>
            </w:r>
            <w:r>
              <w:rPr>
                <w:rFonts w:hint="eastAsia" w:asciiTheme="minorEastAsia" w:hAnsiTheme="minorEastAsia" w:eastAsiaTheme="minorEastAsia" w:cstheme="minorEastAsia"/>
                <w:color w:val="000000" w:themeColor="text1"/>
                <w:sz w:val="18"/>
                <w:szCs w:val="18"/>
                <w:lang w:val="en-US" w:eastAsia="zh-CN"/>
              </w:rPr>
              <w:t>/</w:t>
            </w:r>
            <w:r>
              <w:rPr>
                <w:rFonts w:hint="eastAsia" w:asciiTheme="minorEastAsia" w:hAnsiTheme="minorEastAsia" w:eastAsiaTheme="minorEastAsia" w:cstheme="minorEastAsia"/>
                <w:color w:val="000000" w:themeColor="text1"/>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restart"/>
            <w:vAlign w:val="center"/>
          </w:tcPr>
          <w:p>
            <w:pPr>
              <w:adjustRightInd w:val="0"/>
              <w:jc w:val="center"/>
              <w:rPr>
                <w:b/>
                <w:color w:val="000000" w:themeColor="text1"/>
                <w:sz w:val="18"/>
                <w:szCs w:val="18"/>
              </w:rPr>
            </w:pPr>
            <w:r>
              <w:rPr>
                <w:b/>
                <w:color w:val="000000" w:themeColor="text1"/>
                <w:sz w:val="18"/>
                <w:szCs w:val="18"/>
              </w:rPr>
              <w:t>必</w:t>
            </w:r>
          </w:p>
          <w:p>
            <w:pPr>
              <w:adjustRightInd w:val="0"/>
              <w:jc w:val="center"/>
              <w:rPr>
                <w:b/>
                <w:color w:val="000000" w:themeColor="text1"/>
                <w:sz w:val="18"/>
                <w:szCs w:val="18"/>
              </w:rPr>
            </w:pPr>
            <w:r>
              <w:rPr>
                <w:b/>
                <w:color w:val="000000" w:themeColor="text1"/>
                <w:sz w:val="18"/>
                <w:szCs w:val="18"/>
              </w:rPr>
              <w:t>修</w:t>
            </w:r>
          </w:p>
          <w:p>
            <w:pPr>
              <w:adjustRightInd w:val="0"/>
              <w:jc w:val="center"/>
              <w:rPr>
                <w:b/>
                <w:color w:val="000000" w:themeColor="text1"/>
                <w:sz w:val="18"/>
                <w:szCs w:val="18"/>
              </w:rPr>
            </w:pPr>
            <w:r>
              <w:rPr>
                <w:b/>
                <w:color w:val="000000" w:themeColor="text1"/>
                <w:sz w:val="18"/>
                <w:szCs w:val="18"/>
              </w:rPr>
              <w:t>环</w:t>
            </w:r>
          </w:p>
          <w:p>
            <w:pPr>
              <w:adjustRightInd w:val="0"/>
              <w:jc w:val="center"/>
              <w:rPr>
                <w:b/>
                <w:color w:val="000000" w:themeColor="text1"/>
                <w:sz w:val="18"/>
                <w:szCs w:val="18"/>
              </w:rPr>
            </w:pPr>
            <w:r>
              <w:rPr>
                <w:b/>
                <w:color w:val="000000" w:themeColor="text1"/>
                <w:sz w:val="18"/>
                <w:szCs w:val="18"/>
              </w:rPr>
              <w:t>节</w:t>
            </w:r>
          </w:p>
        </w:tc>
        <w:tc>
          <w:tcPr>
            <w:tcW w:w="1707" w:type="dxa"/>
            <w:vMerge w:val="restart"/>
            <w:vAlign w:val="center"/>
          </w:tcPr>
          <w:p>
            <w:pPr>
              <w:adjustRightInd w:val="0"/>
              <w:jc w:val="center"/>
              <w:rPr>
                <w:b/>
                <w:color w:val="000000" w:themeColor="text1"/>
                <w:sz w:val="18"/>
                <w:szCs w:val="18"/>
              </w:rPr>
            </w:pPr>
            <w:r>
              <w:rPr>
                <w:rFonts w:hint="eastAsia"/>
                <w:b/>
                <w:color w:val="000000" w:themeColor="text1"/>
                <w:sz w:val="18"/>
                <w:szCs w:val="18"/>
              </w:rPr>
              <w:t>实践环节</w:t>
            </w:r>
          </w:p>
        </w:tc>
        <w:tc>
          <w:tcPr>
            <w:tcW w:w="3107" w:type="dxa"/>
            <w:vAlign w:val="center"/>
          </w:tcPr>
          <w:p>
            <w:pPr>
              <w:jc w:val="left"/>
              <w:rPr>
                <w:color w:val="000000" w:themeColor="text1"/>
                <w:sz w:val="18"/>
                <w:szCs w:val="18"/>
              </w:rPr>
            </w:pPr>
            <w:r>
              <w:rPr>
                <w:rFonts w:hint="eastAsia"/>
                <w:sz w:val="18"/>
                <w:szCs w:val="18"/>
              </w:rPr>
              <w:t>入学教育与学术规范</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color w:val="000000" w:themeColor="text1"/>
                <w:sz w:val="18"/>
                <w:szCs w:val="18"/>
              </w:rPr>
            </w:pPr>
            <w:r>
              <w:rPr>
                <w:rFonts w:hint="eastAsia"/>
                <w:color w:val="000000" w:themeColor="text1"/>
                <w:sz w:val="18"/>
                <w:szCs w:val="18"/>
              </w:rPr>
              <w:t>1</w:t>
            </w:r>
          </w:p>
        </w:tc>
        <w:tc>
          <w:tcPr>
            <w:tcW w:w="1134" w:type="dxa"/>
            <w:vMerge w:val="restart"/>
            <w:vAlign w:val="center"/>
          </w:tcPr>
          <w:p>
            <w:pPr>
              <w:adjustRightInd w:val="0"/>
              <w:snapToGrid w:val="0"/>
              <w:jc w:val="center"/>
              <w:rPr>
                <w:i/>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vAlign w:val="center"/>
          </w:tcPr>
          <w:p>
            <w:pPr>
              <w:adjustRightInd w:val="0"/>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rPr>
                <w:color w:val="000000" w:themeColor="text1"/>
                <w:sz w:val="18"/>
                <w:szCs w:val="18"/>
              </w:rPr>
            </w:pPr>
            <w:r>
              <w:rPr>
                <w:color w:val="000000" w:themeColor="text1"/>
                <w:sz w:val="18"/>
                <w:szCs w:val="18"/>
              </w:rPr>
              <w:t>中期筛选</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color w:val="000000" w:themeColor="text1"/>
                <w:sz w:val="18"/>
                <w:szCs w:val="18"/>
              </w:rPr>
            </w:pPr>
            <w:r>
              <w:rPr>
                <w:rFonts w:hint="eastAsia"/>
                <w:color w:val="000000" w:themeColor="text1"/>
                <w:sz w:val="18"/>
                <w:szCs w:val="18"/>
              </w:rPr>
              <w:t>2-</w:t>
            </w:r>
            <w:r>
              <w:rPr>
                <w:color w:val="000000" w:themeColor="text1"/>
                <w:sz w:val="18"/>
                <w:szCs w:val="18"/>
              </w:rPr>
              <w:t>3</w:t>
            </w:r>
          </w:p>
        </w:tc>
        <w:tc>
          <w:tcPr>
            <w:tcW w:w="1134"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vAlign w:val="center"/>
          </w:tcPr>
          <w:p>
            <w:pPr>
              <w:adjustRightInd w:val="0"/>
              <w:jc w:val="cente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rPr>
                <w:color w:val="000000" w:themeColor="text1"/>
                <w:sz w:val="18"/>
                <w:szCs w:val="18"/>
              </w:rPr>
            </w:pPr>
            <w:r>
              <w:rPr>
                <w:rFonts w:hint="eastAsia"/>
                <w:color w:val="000000" w:themeColor="text1"/>
                <w:sz w:val="18"/>
                <w:szCs w:val="18"/>
              </w:rPr>
              <w:t>学术活动≥15次</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color w:val="000000" w:themeColor="text1"/>
                <w:sz w:val="18"/>
                <w:szCs w:val="18"/>
              </w:rPr>
            </w:pPr>
          </w:p>
        </w:tc>
        <w:tc>
          <w:tcPr>
            <w:tcW w:w="1134"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tcPr>
          <w:p>
            <w:pPr>
              <w:rPr>
                <w:b/>
                <w:color w:val="000000" w:themeColor="text1"/>
                <w:sz w:val="18"/>
                <w:szCs w:val="18"/>
              </w:rPr>
            </w:pPr>
          </w:p>
        </w:tc>
        <w:tc>
          <w:tcPr>
            <w:tcW w:w="1707" w:type="dxa"/>
            <w:vMerge w:val="restart"/>
            <w:vAlign w:val="center"/>
          </w:tcPr>
          <w:p>
            <w:pPr>
              <w:adjustRightInd w:val="0"/>
              <w:jc w:val="center"/>
              <w:rPr>
                <w:b/>
                <w:color w:val="000000" w:themeColor="text1"/>
                <w:sz w:val="18"/>
                <w:szCs w:val="18"/>
              </w:rPr>
            </w:pPr>
            <w:r>
              <w:rPr>
                <w:rFonts w:hint="eastAsia"/>
                <w:b/>
                <w:color w:val="000000" w:themeColor="text1"/>
                <w:sz w:val="18"/>
                <w:szCs w:val="18"/>
              </w:rPr>
              <w:t>论文环节</w:t>
            </w:r>
          </w:p>
        </w:tc>
        <w:tc>
          <w:tcPr>
            <w:tcW w:w="3107" w:type="dxa"/>
            <w:vAlign w:val="center"/>
          </w:tcPr>
          <w:p>
            <w:pPr>
              <w:rPr>
                <w:color w:val="000000" w:themeColor="text1"/>
                <w:sz w:val="18"/>
                <w:szCs w:val="18"/>
              </w:rPr>
            </w:pPr>
            <w:r>
              <w:rPr>
                <w:rFonts w:hint="eastAsia"/>
                <w:color w:val="000000" w:themeColor="text1"/>
                <w:sz w:val="18"/>
                <w:szCs w:val="18"/>
              </w:rPr>
              <w:t>论文</w:t>
            </w:r>
            <w:r>
              <w:rPr>
                <w:color w:val="000000" w:themeColor="text1"/>
                <w:sz w:val="18"/>
                <w:szCs w:val="18"/>
              </w:rPr>
              <w:t>开题</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3</w:t>
            </w:r>
          </w:p>
        </w:tc>
        <w:tc>
          <w:tcPr>
            <w:tcW w:w="1134" w:type="dxa"/>
            <w:vMerge w:val="restart"/>
            <w:vAlign w:val="center"/>
          </w:tcPr>
          <w:p>
            <w:pPr>
              <w:jc w:val="center"/>
              <w:rPr>
                <w:color w:val="000000" w:themeColor="text1"/>
                <w:sz w:val="18"/>
                <w:szCs w:val="18"/>
              </w:rPr>
            </w:pPr>
            <w:r>
              <w:rPr>
                <w:color w:val="000000" w:themeColor="text1"/>
                <w:sz w:val="18"/>
                <w:szCs w:val="18"/>
              </w:rPr>
              <w:t>过程管理</w:t>
            </w:r>
          </w:p>
          <w:p>
            <w:pPr>
              <w:jc w:val="center"/>
              <w:rPr>
                <w:color w:val="000000" w:themeColor="text1"/>
                <w:sz w:val="18"/>
                <w:szCs w:val="18"/>
              </w:rPr>
            </w:pPr>
            <w:r>
              <w:rPr>
                <w:color w:val="000000" w:themeColor="text1"/>
                <w:sz w:val="18"/>
                <w:szCs w:val="18"/>
              </w:rPr>
              <w:t>无学分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tcPr>
          <w:p>
            <w:pPr>
              <w:rPr>
                <w:b/>
                <w:color w:val="000000" w:themeColor="text1"/>
                <w:sz w:val="18"/>
                <w:szCs w:val="18"/>
              </w:rPr>
            </w:pPr>
          </w:p>
        </w:tc>
        <w:tc>
          <w:tcPr>
            <w:tcW w:w="1707" w:type="dxa"/>
            <w:vMerge w:val="continue"/>
            <w:vAlign w:val="center"/>
          </w:tcPr>
          <w:p>
            <w:pPr>
              <w:adjustRightInd w:val="0"/>
              <w:jc w:val="center"/>
              <w:rPr>
                <w:b/>
                <w:color w:val="000000" w:themeColor="text1"/>
                <w:sz w:val="18"/>
                <w:szCs w:val="18"/>
              </w:rPr>
            </w:pPr>
          </w:p>
        </w:tc>
        <w:tc>
          <w:tcPr>
            <w:tcW w:w="3107" w:type="dxa"/>
            <w:vAlign w:val="center"/>
          </w:tcPr>
          <w:p>
            <w:pPr>
              <w:rPr>
                <w:color w:val="000000" w:themeColor="text1"/>
                <w:sz w:val="18"/>
                <w:szCs w:val="18"/>
              </w:rPr>
            </w:pPr>
            <w:r>
              <w:rPr>
                <w:rFonts w:hint="eastAsia"/>
                <w:color w:val="000000" w:themeColor="text1"/>
                <w:sz w:val="18"/>
                <w:szCs w:val="18"/>
              </w:rPr>
              <w:t>论文预答辩</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5</w:t>
            </w:r>
          </w:p>
        </w:tc>
        <w:tc>
          <w:tcPr>
            <w:tcW w:w="1134" w:type="dxa"/>
            <w:vMerge w:val="continue"/>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tcPr>
          <w:p>
            <w:pPr>
              <w:rPr>
                <w:color w:val="000000" w:themeColor="text1"/>
                <w:sz w:val="18"/>
                <w:szCs w:val="18"/>
              </w:rPr>
            </w:pPr>
          </w:p>
        </w:tc>
        <w:tc>
          <w:tcPr>
            <w:tcW w:w="1707" w:type="dxa"/>
            <w:vMerge w:val="continue"/>
          </w:tcPr>
          <w:p>
            <w:pPr>
              <w:adjustRightInd w:val="0"/>
              <w:jc w:val="center"/>
              <w:rPr>
                <w:color w:val="000000" w:themeColor="text1"/>
                <w:sz w:val="18"/>
                <w:szCs w:val="18"/>
              </w:rPr>
            </w:pPr>
          </w:p>
        </w:tc>
        <w:tc>
          <w:tcPr>
            <w:tcW w:w="3107" w:type="dxa"/>
            <w:vAlign w:val="center"/>
          </w:tcPr>
          <w:p>
            <w:pPr>
              <w:rPr>
                <w:color w:val="000000" w:themeColor="text1"/>
                <w:sz w:val="18"/>
                <w:szCs w:val="18"/>
              </w:rPr>
            </w:pPr>
            <w:r>
              <w:rPr>
                <w:rFonts w:hint="eastAsia"/>
                <w:color w:val="000000" w:themeColor="text1"/>
                <w:sz w:val="18"/>
                <w:szCs w:val="18"/>
              </w:rPr>
              <w:t>论文评审</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6</w:t>
            </w:r>
          </w:p>
        </w:tc>
        <w:tc>
          <w:tcPr>
            <w:tcW w:w="1134" w:type="dxa"/>
            <w:vMerge w:val="continue"/>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49" w:type="dxa"/>
            <w:vMerge w:val="continue"/>
          </w:tcPr>
          <w:p>
            <w:pPr>
              <w:rPr>
                <w:color w:val="000000" w:themeColor="text1"/>
                <w:sz w:val="18"/>
                <w:szCs w:val="18"/>
              </w:rPr>
            </w:pPr>
          </w:p>
        </w:tc>
        <w:tc>
          <w:tcPr>
            <w:tcW w:w="1707" w:type="dxa"/>
            <w:vMerge w:val="continue"/>
          </w:tcPr>
          <w:p>
            <w:pPr>
              <w:adjustRightInd w:val="0"/>
              <w:jc w:val="center"/>
              <w:rPr>
                <w:color w:val="000000" w:themeColor="text1"/>
                <w:sz w:val="18"/>
                <w:szCs w:val="18"/>
              </w:rPr>
            </w:pPr>
          </w:p>
        </w:tc>
        <w:tc>
          <w:tcPr>
            <w:tcW w:w="3107" w:type="dxa"/>
            <w:vAlign w:val="center"/>
          </w:tcPr>
          <w:p>
            <w:pPr>
              <w:rPr>
                <w:color w:val="000000" w:themeColor="text1"/>
                <w:sz w:val="18"/>
                <w:szCs w:val="18"/>
              </w:rPr>
            </w:pPr>
            <w:r>
              <w:rPr>
                <w:rFonts w:hint="eastAsia"/>
                <w:color w:val="000000" w:themeColor="text1"/>
                <w:sz w:val="18"/>
                <w:szCs w:val="18"/>
              </w:rPr>
              <w:t>论文答辩</w:t>
            </w:r>
          </w:p>
        </w:tc>
        <w:tc>
          <w:tcPr>
            <w:tcW w:w="1203" w:type="dxa"/>
            <w:vAlign w:val="center"/>
          </w:tcPr>
          <w:p>
            <w:pPr>
              <w:jc w:val="center"/>
              <w:rPr>
                <w:color w:val="000000" w:themeColor="text1"/>
                <w:sz w:val="18"/>
                <w:szCs w:val="18"/>
              </w:rPr>
            </w:pPr>
          </w:p>
        </w:tc>
        <w:tc>
          <w:tcPr>
            <w:tcW w:w="639" w:type="dxa"/>
            <w:vAlign w:val="center"/>
          </w:tcPr>
          <w:p>
            <w:pPr>
              <w:jc w:val="center"/>
              <w:rPr>
                <w:color w:val="000000" w:themeColor="text1"/>
                <w:sz w:val="18"/>
                <w:szCs w:val="18"/>
              </w:rPr>
            </w:pPr>
          </w:p>
        </w:tc>
        <w:tc>
          <w:tcPr>
            <w:tcW w:w="683" w:type="dxa"/>
            <w:vAlign w:val="center"/>
          </w:tcPr>
          <w:p>
            <w:pPr>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6</w:t>
            </w:r>
          </w:p>
        </w:tc>
        <w:tc>
          <w:tcPr>
            <w:tcW w:w="1134" w:type="dxa"/>
            <w:vMerge w:val="continue"/>
          </w:tcPr>
          <w:p>
            <w:pPr>
              <w:jc w:val="center"/>
              <w:rPr>
                <w:color w:val="000000" w:themeColor="text1"/>
                <w:sz w:val="18"/>
                <w:szCs w:val="18"/>
              </w:rPr>
            </w:pPr>
          </w:p>
        </w:tc>
      </w:tr>
    </w:tbl>
    <w:p>
      <w:pPr>
        <w:rPr>
          <w:b/>
        </w:rPr>
      </w:pPr>
    </w:p>
    <w:p>
      <w:pPr>
        <w:spacing w:line="240" w:lineRule="exact"/>
        <w:rPr>
          <w:b/>
          <w:sz w:val="20"/>
        </w:rPr>
      </w:pPr>
      <w:r>
        <w:rPr>
          <w:rFonts w:hint="eastAsia"/>
          <w:b/>
          <w:sz w:val="20"/>
        </w:rPr>
        <w:t>课程</w:t>
      </w:r>
      <w:r>
        <w:rPr>
          <w:b/>
          <w:sz w:val="20"/>
        </w:rPr>
        <w:t>修读说明</w:t>
      </w:r>
      <w:r>
        <w:rPr>
          <w:rFonts w:hint="eastAsia"/>
          <w:b/>
          <w:sz w:val="20"/>
        </w:rPr>
        <w:t>：</w:t>
      </w:r>
    </w:p>
    <w:p>
      <w:pPr>
        <w:spacing w:line="240" w:lineRule="exact"/>
        <w:rPr>
          <w:b/>
          <w:sz w:val="20"/>
        </w:rPr>
      </w:pPr>
      <w:r>
        <w:rPr>
          <w:rFonts w:hint="eastAsia"/>
          <w:b/>
          <w:sz w:val="20"/>
        </w:rPr>
        <w:t>1、</w:t>
      </w:r>
      <w:r>
        <w:rPr>
          <w:b/>
          <w:sz w:val="20"/>
        </w:rPr>
        <w:t>学位课为一级学科下所有专业方向的必修课</w:t>
      </w:r>
      <w:r>
        <w:rPr>
          <w:rFonts w:hint="eastAsia"/>
          <w:b/>
          <w:sz w:val="20"/>
        </w:rPr>
        <w:t>程。必修环节为研究生培养过程中必须完成的培养活动。</w:t>
      </w:r>
    </w:p>
    <w:p>
      <w:pPr>
        <w:spacing w:line="240" w:lineRule="exact"/>
        <w:rPr>
          <w:b/>
          <w:sz w:val="20"/>
        </w:rPr>
      </w:pPr>
      <w:r>
        <w:rPr>
          <w:rFonts w:hint="eastAsia"/>
          <w:b/>
          <w:sz w:val="20"/>
        </w:rPr>
        <w:t>2、</w:t>
      </w:r>
      <w:r>
        <w:rPr>
          <w:b/>
          <w:sz w:val="20"/>
        </w:rPr>
        <w:t>公共必修课中的外语课程按</w:t>
      </w:r>
      <w:r>
        <w:rPr>
          <w:rFonts w:hint="eastAsia"/>
          <w:b/>
          <w:sz w:val="20"/>
        </w:rPr>
        <w:t>入学时</w:t>
      </w:r>
      <w:r>
        <w:rPr>
          <w:b/>
          <w:sz w:val="20"/>
        </w:rPr>
        <w:t>的外国语考试科目</w:t>
      </w:r>
      <w:r>
        <w:rPr>
          <w:rFonts w:hint="eastAsia"/>
          <w:b/>
          <w:sz w:val="20"/>
        </w:rPr>
        <w:t>修读相关语种</w:t>
      </w:r>
      <w:r>
        <w:rPr>
          <w:b/>
          <w:sz w:val="20"/>
        </w:rPr>
        <w:t>。</w:t>
      </w:r>
    </w:p>
    <w:p>
      <w:pPr>
        <w:spacing w:line="240" w:lineRule="exact"/>
        <w:rPr>
          <w:b/>
          <w:sz w:val="20"/>
        </w:rPr>
      </w:pPr>
      <w:r>
        <w:rPr>
          <w:rFonts w:hint="eastAsia"/>
          <w:b/>
          <w:sz w:val="20"/>
        </w:rPr>
        <w:t>3、公共通识课程中的通修为必选课程。</w:t>
      </w:r>
    </w:p>
    <w:p>
      <w:pPr>
        <w:spacing w:line="240" w:lineRule="exact"/>
        <w:rPr>
          <w:rFonts w:hint="eastAsia"/>
          <w:b/>
          <w:sz w:val="20"/>
        </w:rPr>
      </w:pPr>
      <w:r>
        <w:rPr>
          <w:rFonts w:hint="eastAsia"/>
          <w:b/>
          <w:sz w:val="20"/>
        </w:rPr>
        <w:t>4、</w:t>
      </w:r>
      <w:r>
        <w:rPr>
          <w:b/>
          <w:sz w:val="20"/>
        </w:rPr>
        <w:t>按专业方向设置的非学位课</w:t>
      </w:r>
      <w:r>
        <w:rPr>
          <w:rFonts w:hint="eastAsia"/>
          <w:b/>
          <w:sz w:val="20"/>
        </w:rPr>
        <w:t>方向</w:t>
      </w:r>
      <w:r>
        <w:rPr>
          <w:b/>
          <w:sz w:val="20"/>
        </w:rPr>
        <w:t>课应至少按录取专业所对应的方向</w:t>
      </w:r>
      <w:r>
        <w:rPr>
          <w:rFonts w:hint="eastAsia"/>
          <w:b/>
          <w:sz w:val="20"/>
        </w:rPr>
        <w:t>完成</w:t>
      </w:r>
      <w:r>
        <w:rPr>
          <w:b/>
          <w:sz w:val="20"/>
        </w:rPr>
        <w:t>其中一个方向的修读要求</w:t>
      </w:r>
      <w:r>
        <w:rPr>
          <w:rFonts w:hint="eastAsia"/>
          <w:b/>
          <w:sz w:val="20"/>
        </w:rPr>
        <w:t>。</w:t>
      </w:r>
    </w:p>
    <w:p>
      <w:pPr>
        <w:spacing w:line="240" w:lineRule="exact"/>
        <w:rPr>
          <w:rFonts w:hint="eastAsia"/>
          <w:b/>
          <w:sz w:val="20"/>
        </w:rPr>
      </w:pPr>
      <w:r>
        <w:rPr>
          <w:rFonts w:hint="eastAsia"/>
          <w:b/>
          <w:sz w:val="20"/>
        </w:rPr>
        <w:t>5、</w:t>
      </w:r>
      <w:r>
        <w:rPr>
          <w:b/>
          <w:sz w:val="20"/>
        </w:rPr>
        <w:t>学生毕业总学分为：公共必修课+专业必修课+公共</w:t>
      </w:r>
      <w:r>
        <w:rPr>
          <w:rFonts w:hint="eastAsia"/>
          <w:b/>
          <w:sz w:val="20"/>
        </w:rPr>
        <w:t>通识</w:t>
      </w:r>
      <w:r>
        <w:rPr>
          <w:b/>
          <w:sz w:val="20"/>
        </w:rPr>
        <w:t>课+方向课</w:t>
      </w:r>
      <w:r>
        <w:rPr>
          <w:rFonts w:hint="eastAsia"/>
          <w:b/>
          <w:sz w:val="20"/>
        </w:rPr>
        <w:t>。</w:t>
      </w:r>
    </w:p>
    <w:p>
      <w:pPr>
        <w:spacing w:line="240" w:lineRule="exact"/>
        <w:rPr>
          <w:b/>
          <w:sz w:val="20"/>
        </w:rPr>
      </w:pPr>
      <w:r>
        <w:rPr>
          <w:rFonts w:hint="eastAsia"/>
          <w:b/>
          <w:sz w:val="20"/>
        </w:rPr>
        <w:t>6</w:t>
      </w:r>
      <w:r>
        <w:rPr>
          <w:rFonts w:hint="eastAsia"/>
          <w:b/>
          <w:sz w:val="20"/>
          <w:lang w:eastAsia="zh-CN"/>
        </w:rPr>
        <w:t>、</w:t>
      </w:r>
      <w:r>
        <w:rPr>
          <w:rFonts w:hint="eastAsia"/>
          <w:b/>
          <w:sz w:val="20"/>
        </w:rPr>
        <w:t>学生可以在修完本</w:t>
      </w:r>
      <w:r>
        <w:rPr>
          <w:rFonts w:hint="eastAsia"/>
          <w:b/>
          <w:sz w:val="20"/>
          <w:lang w:val="en-US" w:eastAsia="zh-CN"/>
        </w:rPr>
        <w:t>方向</w:t>
      </w:r>
      <w:r>
        <w:rPr>
          <w:rFonts w:hint="eastAsia"/>
          <w:b/>
          <w:sz w:val="20"/>
        </w:rPr>
        <w:t>全部学分的基础上，跨</w:t>
      </w:r>
      <w:r>
        <w:rPr>
          <w:rFonts w:hint="eastAsia"/>
          <w:b/>
          <w:sz w:val="20"/>
          <w:lang w:val="en-US" w:eastAsia="zh-CN"/>
        </w:rPr>
        <w:t>方向</w:t>
      </w:r>
      <w:r>
        <w:rPr>
          <w:rFonts w:hint="eastAsia"/>
          <w:b/>
          <w:sz w:val="20"/>
        </w:rPr>
        <w:t>选修其他专业课程学分。</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45"/>
    <w:multiLevelType w:val="multilevel"/>
    <w:tmpl w:val="00CA6745"/>
    <w:lvl w:ilvl="0" w:tentative="0">
      <w:start w:val="1"/>
      <w:numFmt w:val="japaneseCounting"/>
      <w:lvlText w:val="（%1）"/>
      <w:lvlJc w:val="left"/>
      <w:pPr>
        <w:ind w:left="1238" w:hanging="756"/>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B0B"/>
    <w:rsid w:val="000017BB"/>
    <w:rsid w:val="00002A1A"/>
    <w:rsid w:val="00003760"/>
    <w:rsid w:val="00003AB1"/>
    <w:rsid w:val="000045F0"/>
    <w:rsid w:val="00004834"/>
    <w:rsid w:val="000051FF"/>
    <w:rsid w:val="00005540"/>
    <w:rsid w:val="00005A23"/>
    <w:rsid w:val="00006D08"/>
    <w:rsid w:val="00006E04"/>
    <w:rsid w:val="0000780D"/>
    <w:rsid w:val="00011169"/>
    <w:rsid w:val="00011E8C"/>
    <w:rsid w:val="0001365A"/>
    <w:rsid w:val="00013F55"/>
    <w:rsid w:val="00015266"/>
    <w:rsid w:val="000154B5"/>
    <w:rsid w:val="00015E88"/>
    <w:rsid w:val="000165A8"/>
    <w:rsid w:val="000229B8"/>
    <w:rsid w:val="000253FB"/>
    <w:rsid w:val="0002553A"/>
    <w:rsid w:val="00025715"/>
    <w:rsid w:val="00025D34"/>
    <w:rsid w:val="00026278"/>
    <w:rsid w:val="000266E2"/>
    <w:rsid w:val="00026F8F"/>
    <w:rsid w:val="00027376"/>
    <w:rsid w:val="00031719"/>
    <w:rsid w:val="00031B61"/>
    <w:rsid w:val="00032C19"/>
    <w:rsid w:val="0003428C"/>
    <w:rsid w:val="00034692"/>
    <w:rsid w:val="00035A07"/>
    <w:rsid w:val="0003630A"/>
    <w:rsid w:val="0003798D"/>
    <w:rsid w:val="00037AC5"/>
    <w:rsid w:val="0004067E"/>
    <w:rsid w:val="000420E7"/>
    <w:rsid w:val="00042271"/>
    <w:rsid w:val="00042ED8"/>
    <w:rsid w:val="0004377A"/>
    <w:rsid w:val="0004455C"/>
    <w:rsid w:val="000445C9"/>
    <w:rsid w:val="0004468A"/>
    <w:rsid w:val="000446F6"/>
    <w:rsid w:val="00044B1B"/>
    <w:rsid w:val="00045490"/>
    <w:rsid w:val="00045566"/>
    <w:rsid w:val="000462ED"/>
    <w:rsid w:val="00046784"/>
    <w:rsid w:val="00046EFF"/>
    <w:rsid w:val="00047780"/>
    <w:rsid w:val="000517AD"/>
    <w:rsid w:val="0005309E"/>
    <w:rsid w:val="00053173"/>
    <w:rsid w:val="00054712"/>
    <w:rsid w:val="00054F25"/>
    <w:rsid w:val="00060C9E"/>
    <w:rsid w:val="00060E5A"/>
    <w:rsid w:val="00061443"/>
    <w:rsid w:val="000627FF"/>
    <w:rsid w:val="00065525"/>
    <w:rsid w:val="00065668"/>
    <w:rsid w:val="00065862"/>
    <w:rsid w:val="00067DA2"/>
    <w:rsid w:val="00070A52"/>
    <w:rsid w:val="00070FB5"/>
    <w:rsid w:val="00073226"/>
    <w:rsid w:val="000760AA"/>
    <w:rsid w:val="000773B4"/>
    <w:rsid w:val="000777E4"/>
    <w:rsid w:val="00080077"/>
    <w:rsid w:val="0008043C"/>
    <w:rsid w:val="000808AC"/>
    <w:rsid w:val="00081736"/>
    <w:rsid w:val="000819A1"/>
    <w:rsid w:val="00081ED3"/>
    <w:rsid w:val="00082A32"/>
    <w:rsid w:val="000846F8"/>
    <w:rsid w:val="000865C0"/>
    <w:rsid w:val="00086A2D"/>
    <w:rsid w:val="000874F2"/>
    <w:rsid w:val="000877D8"/>
    <w:rsid w:val="00087BB6"/>
    <w:rsid w:val="00087C99"/>
    <w:rsid w:val="000903CF"/>
    <w:rsid w:val="00091106"/>
    <w:rsid w:val="00093E55"/>
    <w:rsid w:val="00094EF5"/>
    <w:rsid w:val="00095FAE"/>
    <w:rsid w:val="000A0C3E"/>
    <w:rsid w:val="000A1577"/>
    <w:rsid w:val="000A1769"/>
    <w:rsid w:val="000A422B"/>
    <w:rsid w:val="000A46F4"/>
    <w:rsid w:val="000A47A2"/>
    <w:rsid w:val="000A48BC"/>
    <w:rsid w:val="000A59A1"/>
    <w:rsid w:val="000A5AEB"/>
    <w:rsid w:val="000A6B0F"/>
    <w:rsid w:val="000A6FBD"/>
    <w:rsid w:val="000A73F2"/>
    <w:rsid w:val="000A7E9B"/>
    <w:rsid w:val="000B10CA"/>
    <w:rsid w:val="000B1176"/>
    <w:rsid w:val="000B11F5"/>
    <w:rsid w:val="000B3404"/>
    <w:rsid w:val="000B36CF"/>
    <w:rsid w:val="000B3A32"/>
    <w:rsid w:val="000B3F63"/>
    <w:rsid w:val="000B4084"/>
    <w:rsid w:val="000B596C"/>
    <w:rsid w:val="000B5B40"/>
    <w:rsid w:val="000C00CD"/>
    <w:rsid w:val="000C1C39"/>
    <w:rsid w:val="000C1DF1"/>
    <w:rsid w:val="000C684D"/>
    <w:rsid w:val="000C7109"/>
    <w:rsid w:val="000C7B56"/>
    <w:rsid w:val="000D0856"/>
    <w:rsid w:val="000D0CA9"/>
    <w:rsid w:val="000D1496"/>
    <w:rsid w:val="000D21C4"/>
    <w:rsid w:val="000D2324"/>
    <w:rsid w:val="000D3B72"/>
    <w:rsid w:val="000D3BAB"/>
    <w:rsid w:val="000D41D0"/>
    <w:rsid w:val="000D6149"/>
    <w:rsid w:val="000D6CC0"/>
    <w:rsid w:val="000D6CD9"/>
    <w:rsid w:val="000D71B2"/>
    <w:rsid w:val="000E0380"/>
    <w:rsid w:val="000E0B76"/>
    <w:rsid w:val="000E51AE"/>
    <w:rsid w:val="000E5229"/>
    <w:rsid w:val="000E58F5"/>
    <w:rsid w:val="000F12FD"/>
    <w:rsid w:val="000F21F3"/>
    <w:rsid w:val="000F238B"/>
    <w:rsid w:val="000F2DCE"/>
    <w:rsid w:val="000F2E11"/>
    <w:rsid w:val="000F335A"/>
    <w:rsid w:val="000F36F1"/>
    <w:rsid w:val="000F3809"/>
    <w:rsid w:val="000F4E87"/>
    <w:rsid w:val="001004D8"/>
    <w:rsid w:val="00100A1C"/>
    <w:rsid w:val="00101F57"/>
    <w:rsid w:val="00104BB1"/>
    <w:rsid w:val="00105E20"/>
    <w:rsid w:val="001101F5"/>
    <w:rsid w:val="00110577"/>
    <w:rsid w:val="00110911"/>
    <w:rsid w:val="00110D6C"/>
    <w:rsid w:val="00111BCA"/>
    <w:rsid w:val="0011294E"/>
    <w:rsid w:val="00112E68"/>
    <w:rsid w:val="00113989"/>
    <w:rsid w:val="00113B61"/>
    <w:rsid w:val="00116295"/>
    <w:rsid w:val="00116DAF"/>
    <w:rsid w:val="00116ED7"/>
    <w:rsid w:val="0011773A"/>
    <w:rsid w:val="00117E96"/>
    <w:rsid w:val="001200D3"/>
    <w:rsid w:val="001201FC"/>
    <w:rsid w:val="00123074"/>
    <w:rsid w:val="001252CE"/>
    <w:rsid w:val="00125622"/>
    <w:rsid w:val="00127001"/>
    <w:rsid w:val="00127186"/>
    <w:rsid w:val="0012727D"/>
    <w:rsid w:val="00127CE4"/>
    <w:rsid w:val="001305B0"/>
    <w:rsid w:val="00130B1A"/>
    <w:rsid w:val="0013275E"/>
    <w:rsid w:val="0013293E"/>
    <w:rsid w:val="0013294F"/>
    <w:rsid w:val="001330A5"/>
    <w:rsid w:val="00133EFF"/>
    <w:rsid w:val="00134042"/>
    <w:rsid w:val="001340D6"/>
    <w:rsid w:val="001340EE"/>
    <w:rsid w:val="001342C9"/>
    <w:rsid w:val="0013523E"/>
    <w:rsid w:val="00135DD4"/>
    <w:rsid w:val="00141A90"/>
    <w:rsid w:val="00141C03"/>
    <w:rsid w:val="00141D33"/>
    <w:rsid w:val="00142AE5"/>
    <w:rsid w:val="001434A0"/>
    <w:rsid w:val="0014508B"/>
    <w:rsid w:val="001513DE"/>
    <w:rsid w:val="001519AB"/>
    <w:rsid w:val="00152900"/>
    <w:rsid w:val="001548B0"/>
    <w:rsid w:val="00155AAE"/>
    <w:rsid w:val="00156DDA"/>
    <w:rsid w:val="00160DA3"/>
    <w:rsid w:val="0016181D"/>
    <w:rsid w:val="00162151"/>
    <w:rsid w:val="0016284B"/>
    <w:rsid w:val="00163A5C"/>
    <w:rsid w:val="00165D55"/>
    <w:rsid w:val="00166596"/>
    <w:rsid w:val="00167C56"/>
    <w:rsid w:val="00171332"/>
    <w:rsid w:val="001715BD"/>
    <w:rsid w:val="0017260D"/>
    <w:rsid w:val="00172DEF"/>
    <w:rsid w:val="00173690"/>
    <w:rsid w:val="00173BBC"/>
    <w:rsid w:val="00174672"/>
    <w:rsid w:val="001749C9"/>
    <w:rsid w:val="00175F90"/>
    <w:rsid w:val="00175FDB"/>
    <w:rsid w:val="0017600D"/>
    <w:rsid w:val="001770BE"/>
    <w:rsid w:val="001774C8"/>
    <w:rsid w:val="00181B98"/>
    <w:rsid w:val="001827EC"/>
    <w:rsid w:val="00183362"/>
    <w:rsid w:val="00190742"/>
    <w:rsid w:val="00191AA6"/>
    <w:rsid w:val="0019270C"/>
    <w:rsid w:val="00192C94"/>
    <w:rsid w:val="00192FFB"/>
    <w:rsid w:val="00193EB1"/>
    <w:rsid w:val="001944A6"/>
    <w:rsid w:val="00194BD6"/>
    <w:rsid w:val="00196101"/>
    <w:rsid w:val="0019611A"/>
    <w:rsid w:val="00196623"/>
    <w:rsid w:val="00196830"/>
    <w:rsid w:val="00196F50"/>
    <w:rsid w:val="001A0657"/>
    <w:rsid w:val="001A3EC7"/>
    <w:rsid w:val="001A567C"/>
    <w:rsid w:val="001A6029"/>
    <w:rsid w:val="001A7229"/>
    <w:rsid w:val="001A78CF"/>
    <w:rsid w:val="001B0D85"/>
    <w:rsid w:val="001B2A51"/>
    <w:rsid w:val="001B30C4"/>
    <w:rsid w:val="001B465A"/>
    <w:rsid w:val="001B4FF4"/>
    <w:rsid w:val="001B62AC"/>
    <w:rsid w:val="001B66AF"/>
    <w:rsid w:val="001C2996"/>
    <w:rsid w:val="001C30DC"/>
    <w:rsid w:val="001C45C2"/>
    <w:rsid w:val="001C481C"/>
    <w:rsid w:val="001C5480"/>
    <w:rsid w:val="001C5553"/>
    <w:rsid w:val="001C6211"/>
    <w:rsid w:val="001C7066"/>
    <w:rsid w:val="001C752D"/>
    <w:rsid w:val="001D1C64"/>
    <w:rsid w:val="001D1E43"/>
    <w:rsid w:val="001D2313"/>
    <w:rsid w:val="001D28BB"/>
    <w:rsid w:val="001D2AEA"/>
    <w:rsid w:val="001D45FC"/>
    <w:rsid w:val="001D599A"/>
    <w:rsid w:val="001D621F"/>
    <w:rsid w:val="001D690F"/>
    <w:rsid w:val="001D6A65"/>
    <w:rsid w:val="001D78A6"/>
    <w:rsid w:val="001E0FD8"/>
    <w:rsid w:val="001E149A"/>
    <w:rsid w:val="001E1523"/>
    <w:rsid w:val="001E173F"/>
    <w:rsid w:val="001E2472"/>
    <w:rsid w:val="001E47AA"/>
    <w:rsid w:val="001E4A22"/>
    <w:rsid w:val="001E57D0"/>
    <w:rsid w:val="001F03A6"/>
    <w:rsid w:val="001F0744"/>
    <w:rsid w:val="001F0AE0"/>
    <w:rsid w:val="001F11BA"/>
    <w:rsid w:val="001F1281"/>
    <w:rsid w:val="001F1A8A"/>
    <w:rsid w:val="001F1F2E"/>
    <w:rsid w:val="001F1F8B"/>
    <w:rsid w:val="001F2B47"/>
    <w:rsid w:val="001F36E6"/>
    <w:rsid w:val="001F431F"/>
    <w:rsid w:val="001F5576"/>
    <w:rsid w:val="001F61D1"/>
    <w:rsid w:val="001F65A4"/>
    <w:rsid w:val="00200505"/>
    <w:rsid w:val="00202151"/>
    <w:rsid w:val="002027B9"/>
    <w:rsid w:val="00202B64"/>
    <w:rsid w:val="00202C05"/>
    <w:rsid w:val="00202D87"/>
    <w:rsid w:val="00203546"/>
    <w:rsid w:val="00203900"/>
    <w:rsid w:val="00204685"/>
    <w:rsid w:val="002056DB"/>
    <w:rsid w:val="00205814"/>
    <w:rsid w:val="00206236"/>
    <w:rsid w:val="00206FD9"/>
    <w:rsid w:val="002072D0"/>
    <w:rsid w:val="002106EB"/>
    <w:rsid w:val="002120B8"/>
    <w:rsid w:val="002120E9"/>
    <w:rsid w:val="00212267"/>
    <w:rsid w:val="00215A41"/>
    <w:rsid w:val="0021662C"/>
    <w:rsid w:val="00216D4F"/>
    <w:rsid w:val="00217554"/>
    <w:rsid w:val="0022264F"/>
    <w:rsid w:val="00222A5E"/>
    <w:rsid w:val="002231B6"/>
    <w:rsid w:val="002249A4"/>
    <w:rsid w:val="002258EE"/>
    <w:rsid w:val="00226F23"/>
    <w:rsid w:val="0023080B"/>
    <w:rsid w:val="002309EB"/>
    <w:rsid w:val="00230D9E"/>
    <w:rsid w:val="00230FA3"/>
    <w:rsid w:val="002311D2"/>
    <w:rsid w:val="00231C36"/>
    <w:rsid w:val="00232528"/>
    <w:rsid w:val="002325BF"/>
    <w:rsid w:val="00234212"/>
    <w:rsid w:val="002344D2"/>
    <w:rsid w:val="00234A5A"/>
    <w:rsid w:val="00235208"/>
    <w:rsid w:val="002356C5"/>
    <w:rsid w:val="00236353"/>
    <w:rsid w:val="00236568"/>
    <w:rsid w:val="00236AF5"/>
    <w:rsid w:val="002370A1"/>
    <w:rsid w:val="002372FB"/>
    <w:rsid w:val="002379CB"/>
    <w:rsid w:val="0024086B"/>
    <w:rsid w:val="00240DCC"/>
    <w:rsid w:val="002417EA"/>
    <w:rsid w:val="002419A5"/>
    <w:rsid w:val="002421DE"/>
    <w:rsid w:val="0024310F"/>
    <w:rsid w:val="00247400"/>
    <w:rsid w:val="002477E4"/>
    <w:rsid w:val="00247888"/>
    <w:rsid w:val="0025208A"/>
    <w:rsid w:val="00252753"/>
    <w:rsid w:val="00252F91"/>
    <w:rsid w:val="0025480C"/>
    <w:rsid w:val="00254838"/>
    <w:rsid w:val="00255288"/>
    <w:rsid w:val="002558BC"/>
    <w:rsid w:val="00257241"/>
    <w:rsid w:val="002573A9"/>
    <w:rsid w:val="00260797"/>
    <w:rsid w:val="00260E68"/>
    <w:rsid w:val="002636A1"/>
    <w:rsid w:val="0026401B"/>
    <w:rsid w:val="00265C89"/>
    <w:rsid w:val="00265F6A"/>
    <w:rsid w:val="002661C1"/>
    <w:rsid w:val="002666C6"/>
    <w:rsid w:val="00266F5D"/>
    <w:rsid w:val="00267515"/>
    <w:rsid w:val="00274D29"/>
    <w:rsid w:val="002801E8"/>
    <w:rsid w:val="002819AD"/>
    <w:rsid w:val="00281A0D"/>
    <w:rsid w:val="0028441E"/>
    <w:rsid w:val="0028528E"/>
    <w:rsid w:val="00290488"/>
    <w:rsid w:val="00291095"/>
    <w:rsid w:val="00292415"/>
    <w:rsid w:val="00292687"/>
    <w:rsid w:val="0029299A"/>
    <w:rsid w:val="002930F5"/>
    <w:rsid w:val="00293466"/>
    <w:rsid w:val="00293784"/>
    <w:rsid w:val="00293972"/>
    <w:rsid w:val="00295013"/>
    <w:rsid w:val="002950C9"/>
    <w:rsid w:val="002956DA"/>
    <w:rsid w:val="00296D8B"/>
    <w:rsid w:val="002A112F"/>
    <w:rsid w:val="002A2616"/>
    <w:rsid w:val="002A71B9"/>
    <w:rsid w:val="002A7921"/>
    <w:rsid w:val="002B0A99"/>
    <w:rsid w:val="002B293A"/>
    <w:rsid w:val="002B2A1B"/>
    <w:rsid w:val="002B3394"/>
    <w:rsid w:val="002B63CC"/>
    <w:rsid w:val="002B72BE"/>
    <w:rsid w:val="002B76EF"/>
    <w:rsid w:val="002B7EFB"/>
    <w:rsid w:val="002C0D99"/>
    <w:rsid w:val="002C10F7"/>
    <w:rsid w:val="002C27CC"/>
    <w:rsid w:val="002C3ADD"/>
    <w:rsid w:val="002C44BA"/>
    <w:rsid w:val="002C531D"/>
    <w:rsid w:val="002C5839"/>
    <w:rsid w:val="002C5D7C"/>
    <w:rsid w:val="002C68F2"/>
    <w:rsid w:val="002C6CF4"/>
    <w:rsid w:val="002C7D60"/>
    <w:rsid w:val="002D2E9E"/>
    <w:rsid w:val="002D326B"/>
    <w:rsid w:val="002D34C1"/>
    <w:rsid w:val="002D4DCD"/>
    <w:rsid w:val="002D5BB0"/>
    <w:rsid w:val="002D6382"/>
    <w:rsid w:val="002D6BA6"/>
    <w:rsid w:val="002D7162"/>
    <w:rsid w:val="002E22E4"/>
    <w:rsid w:val="002E2C47"/>
    <w:rsid w:val="002E497F"/>
    <w:rsid w:val="002E51D1"/>
    <w:rsid w:val="002E5BED"/>
    <w:rsid w:val="002E639B"/>
    <w:rsid w:val="002E6CC4"/>
    <w:rsid w:val="002E704A"/>
    <w:rsid w:val="002E716E"/>
    <w:rsid w:val="002E7D01"/>
    <w:rsid w:val="002E7E9B"/>
    <w:rsid w:val="002E7F9D"/>
    <w:rsid w:val="002F2720"/>
    <w:rsid w:val="002F2797"/>
    <w:rsid w:val="002F3877"/>
    <w:rsid w:val="002F3C9A"/>
    <w:rsid w:val="002F417B"/>
    <w:rsid w:val="002F4833"/>
    <w:rsid w:val="002F5579"/>
    <w:rsid w:val="002F6B84"/>
    <w:rsid w:val="0030052A"/>
    <w:rsid w:val="003015B0"/>
    <w:rsid w:val="00302150"/>
    <w:rsid w:val="003030A7"/>
    <w:rsid w:val="00305644"/>
    <w:rsid w:val="003056A8"/>
    <w:rsid w:val="00307635"/>
    <w:rsid w:val="003127B0"/>
    <w:rsid w:val="00312822"/>
    <w:rsid w:val="00314BE3"/>
    <w:rsid w:val="00314D3C"/>
    <w:rsid w:val="00315E40"/>
    <w:rsid w:val="0031623B"/>
    <w:rsid w:val="00316326"/>
    <w:rsid w:val="00316470"/>
    <w:rsid w:val="00316817"/>
    <w:rsid w:val="003175BD"/>
    <w:rsid w:val="00317FDF"/>
    <w:rsid w:val="0032059F"/>
    <w:rsid w:val="00321FD1"/>
    <w:rsid w:val="00322D53"/>
    <w:rsid w:val="003234B4"/>
    <w:rsid w:val="00323D0D"/>
    <w:rsid w:val="00325D12"/>
    <w:rsid w:val="00326A2C"/>
    <w:rsid w:val="003279B0"/>
    <w:rsid w:val="00331123"/>
    <w:rsid w:val="00331B4B"/>
    <w:rsid w:val="00331D3B"/>
    <w:rsid w:val="00332C98"/>
    <w:rsid w:val="00333E5C"/>
    <w:rsid w:val="00334F71"/>
    <w:rsid w:val="00335BB9"/>
    <w:rsid w:val="00336751"/>
    <w:rsid w:val="00336778"/>
    <w:rsid w:val="003374FD"/>
    <w:rsid w:val="00337DD6"/>
    <w:rsid w:val="003416BC"/>
    <w:rsid w:val="00345BF6"/>
    <w:rsid w:val="00350E12"/>
    <w:rsid w:val="00351789"/>
    <w:rsid w:val="00352485"/>
    <w:rsid w:val="00352525"/>
    <w:rsid w:val="003539D7"/>
    <w:rsid w:val="00353D6B"/>
    <w:rsid w:val="003555A2"/>
    <w:rsid w:val="003617F2"/>
    <w:rsid w:val="00362BF4"/>
    <w:rsid w:val="00364D73"/>
    <w:rsid w:val="00367064"/>
    <w:rsid w:val="00371E5D"/>
    <w:rsid w:val="00371F36"/>
    <w:rsid w:val="00372023"/>
    <w:rsid w:val="00374191"/>
    <w:rsid w:val="00376F53"/>
    <w:rsid w:val="00382F33"/>
    <w:rsid w:val="00383F4C"/>
    <w:rsid w:val="00383FF4"/>
    <w:rsid w:val="00384607"/>
    <w:rsid w:val="0038680E"/>
    <w:rsid w:val="00386FF4"/>
    <w:rsid w:val="00387621"/>
    <w:rsid w:val="0039122B"/>
    <w:rsid w:val="003916C3"/>
    <w:rsid w:val="00392FBD"/>
    <w:rsid w:val="00397184"/>
    <w:rsid w:val="003A0041"/>
    <w:rsid w:val="003A3458"/>
    <w:rsid w:val="003A42FD"/>
    <w:rsid w:val="003A45BD"/>
    <w:rsid w:val="003A4D10"/>
    <w:rsid w:val="003A562E"/>
    <w:rsid w:val="003A59AE"/>
    <w:rsid w:val="003A6828"/>
    <w:rsid w:val="003A6BA2"/>
    <w:rsid w:val="003A7FDB"/>
    <w:rsid w:val="003B02F6"/>
    <w:rsid w:val="003B11EC"/>
    <w:rsid w:val="003B1809"/>
    <w:rsid w:val="003B1C29"/>
    <w:rsid w:val="003B21FD"/>
    <w:rsid w:val="003B38C6"/>
    <w:rsid w:val="003B3945"/>
    <w:rsid w:val="003B50B1"/>
    <w:rsid w:val="003B5B45"/>
    <w:rsid w:val="003B5EF2"/>
    <w:rsid w:val="003B5FCD"/>
    <w:rsid w:val="003C1B16"/>
    <w:rsid w:val="003C2368"/>
    <w:rsid w:val="003C2B6F"/>
    <w:rsid w:val="003C3387"/>
    <w:rsid w:val="003C43AE"/>
    <w:rsid w:val="003C4CF4"/>
    <w:rsid w:val="003C4F53"/>
    <w:rsid w:val="003C5F9F"/>
    <w:rsid w:val="003D13E5"/>
    <w:rsid w:val="003D1899"/>
    <w:rsid w:val="003D18A7"/>
    <w:rsid w:val="003D2C6C"/>
    <w:rsid w:val="003D354D"/>
    <w:rsid w:val="003D35E3"/>
    <w:rsid w:val="003D3974"/>
    <w:rsid w:val="003D3996"/>
    <w:rsid w:val="003D3BD9"/>
    <w:rsid w:val="003D51E0"/>
    <w:rsid w:val="003D5216"/>
    <w:rsid w:val="003D64C3"/>
    <w:rsid w:val="003E0503"/>
    <w:rsid w:val="003E1977"/>
    <w:rsid w:val="003E1FE7"/>
    <w:rsid w:val="003E42F3"/>
    <w:rsid w:val="003E5315"/>
    <w:rsid w:val="003E5423"/>
    <w:rsid w:val="003E5A1E"/>
    <w:rsid w:val="003E5BF2"/>
    <w:rsid w:val="003E5F3F"/>
    <w:rsid w:val="003E6CB3"/>
    <w:rsid w:val="003E7512"/>
    <w:rsid w:val="003E7D25"/>
    <w:rsid w:val="003F1009"/>
    <w:rsid w:val="003F14D3"/>
    <w:rsid w:val="003F1C70"/>
    <w:rsid w:val="003F1F1D"/>
    <w:rsid w:val="003F261F"/>
    <w:rsid w:val="003F3531"/>
    <w:rsid w:val="003F3BF4"/>
    <w:rsid w:val="003F42A8"/>
    <w:rsid w:val="003F470A"/>
    <w:rsid w:val="003F5B64"/>
    <w:rsid w:val="003F7640"/>
    <w:rsid w:val="0040267E"/>
    <w:rsid w:val="004057B5"/>
    <w:rsid w:val="00405CBD"/>
    <w:rsid w:val="004072EC"/>
    <w:rsid w:val="004106FF"/>
    <w:rsid w:val="004109A1"/>
    <w:rsid w:val="00411D94"/>
    <w:rsid w:val="004124A9"/>
    <w:rsid w:val="004130E5"/>
    <w:rsid w:val="00413674"/>
    <w:rsid w:val="00414FF5"/>
    <w:rsid w:val="00416F54"/>
    <w:rsid w:val="0042019B"/>
    <w:rsid w:val="004210EC"/>
    <w:rsid w:val="00421AB0"/>
    <w:rsid w:val="00424002"/>
    <w:rsid w:val="00424D58"/>
    <w:rsid w:val="00426083"/>
    <w:rsid w:val="0043229B"/>
    <w:rsid w:val="00432B06"/>
    <w:rsid w:val="00432D6A"/>
    <w:rsid w:val="00437442"/>
    <w:rsid w:val="00441446"/>
    <w:rsid w:val="00442209"/>
    <w:rsid w:val="004424CB"/>
    <w:rsid w:val="00443D99"/>
    <w:rsid w:val="00444DA6"/>
    <w:rsid w:val="00447E14"/>
    <w:rsid w:val="004507E2"/>
    <w:rsid w:val="0045095A"/>
    <w:rsid w:val="00450E8F"/>
    <w:rsid w:val="00451601"/>
    <w:rsid w:val="004517DC"/>
    <w:rsid w:val="0045466A"/>
    <w:rsid w:val="00454F3D"/>
    <w:rsid w:val="00455910"/>
    <w:rsid w:val="0045607C"/>
    <w:rsid w:val="0045658D"/>
    <w:rsid w:val="00456D50"/>
    <w:rsid w:val="004573A6"/>
    <w:rsid w:val="0045759A"/>
    <w:rsid w:val="00457865"/>
    <w:rsid w:val="004611E3"/>
    <w:rsid w:val="00461D4C"/>
    <w:rsid w:val="004641AB"/>
    <w:rsid w:val="00464A9E"/>
    <w:rsid w:val="0046737A"/>
    <w:rsid w:val="00467BDC"/>
    <w:rsid w:val="004701C4"/>
    <w:rsid w:val="00470B65"/>
    <w:rsid w:val="00470D45"/>
    <w:rsid w:val="00470DBA"/>
    <w:rsid w:val="004725F0"/>
    <w:rsid w:val="00472F60"/>
    <w:rsid w:val="00473CFA"/>
    <w:rsid w:val="0047503D"/>
    <w:rsid w:val="00475BA4"/>
    <w:rsid w:val="00476DE5"/>
    <w:rsid w:val="00477592"/>
    <w:rsid w:val="004778A0"/>
    <w:rsid w:val="00477B5B"/>
    <w:rsid w:val="0048109C"/>
    <w:rsid w:val="00481ED3"/>
    <w:rsid w:val="0048303D"/>
    <w:rsid w:val="00483D42"/>
    <w:rsid w:val="0048401B"/>
    <w:rsid w:val="00484694"/>
    <w:rsid w:val="00484F01"/>
    <w:rsid w:val="00487311"/>
    <w:rsid w:val="004878D5"/>
    <w:rsid w:val="00487F90"/>
    <w:rsid w:val="004930BE"/>
    <w:rsid w:val="00493360"/>
    <w:rsid w:val="00493E56"/>
    <w:rsid w:val="00493F33"/>
    <w:rsid w:val="00494F54"/>
    <w:rsid w:val="00495360"/>
    <w:rsid w:val="00495791"/>
    <w:rsid w:val="004960EE"/>
    <w:rsid w:val="004A07FE"/>
    <w:rsid w:val="004A1039"/>
    <w:rsid w:val="004A2DF9"/>
    <w:rsid w:val="004A3097"/>
    <w:rsid w:val="004A4867"/>
    <w:rsid w:val="004A53C4"/>
    <w:rsid w:val="004A5EB7"/>
    <w:rsid w:val="004A671E"/>
    <w:rsid w:val="004A6A44"/>
    <w:rsid w:val="004A6E8A"/>
    <w:rsid w:val="004B0DD9"/>
    <w:rsid w:val="004B18A7"/>
    <w:rsid w:val="004B25BE"/>
    <w:rsid w:val="004B3E96"/>
    <w:rsid w:val="004B4ED3"/>
    <w:rsid w:val="004B6494"/>
    <w:rsid w:val="004B6B41"/>
    <w:rsid w:val="004B7C1D"/>
    <w:rsid w:val="004C0AA3"/>
    <w:rsid w:val="004C23AA"/>
    <w:rsid w:val="004C48C8"/>
    <w:rsid w:val="004C4C3C"/>
    <w:rsid w:val="004C4F07"/>
    <w:rsid w:val="004C7469"/>
    <w:rsid w:val="004C7690"/>
    <w:rsid w:val="004D17F5"/>
    <w:rsid w:val="004D1952"/>
    <w:rsid w:val="004D5F79"/>
    <w:rsid w:val="004D62EC"/>
    <w:rsid w:val="004D685B"/>
    <w:rsid w:val="004D73C8"/>
    <w:rsid w:val="004E0437"/>
    <w:rsid w:val="004E0F0B"/>
    <w:rsid w:val="004E0F12"/>
    <w:rsid w:val="004E1823"/>
    <w:rsid w:val="004E32D6"/>
    <w:rsid w:val="004E6028"/>
    <w:rsid w:val="004E7FBD"/>
    <w:rsid w:val="004F0A81"/>
    <w:rsid w:val="004F18E0"/>
    <w:rsid w:val="004F2A3F"/>
    <w:rsid w:val="004F3283"/>
    <w:rsid w:val="004F4562"/>
    <w:rsid w:val="004F4B9D"/>
    <w:rsid w:val="004F5297"/>
    <w:rsid w:val="004F7534"/>
    <w:rsid w:val="00501096"/>
    <w:rsid w:val="0050152F"/>
    <w:rsid w:val="00501D66"/>
    <w:rsid w:val="00502BCF"/>
    <w:rsid w:val="00503CA3"/>
    <w:rsid w:val="005064A0"/>
    <w:rsid w:val="00506B23"/>
    <w:rsid w:val="00507E05"/>
    <w:rsid w:val="00510950"/>
    <w:rsid w:val="005109FF"/>
    <w:rsid w:val="00511113"/>
    <w:rsid w:val="00512343"/>
    <w:rsid w:val="0051322C"/>
    <w:rsid w:val="00514279"/>
    <w:rsid w:val="0051684C"/>
    <w:rsid w:val="00517A47"/>
    <w:rsid w:val="00521257"/>
    <w:rsid w:val="00523001"/>
    <w:rsid w:val="00524602"/>
    <w:rsid w:val="00525953"/>
    <w:rsid w:val="00525BB6"/>
    <w:rsid w:val="00527193"/>
    <w:rsid w:val="005273F8"/>
    <w:rsid w:val="00534727"/>
    <w:rsid w:val="00534F23"/>
    <w:rsid w:val="00535263"/>
    <w:rsid w:val="00536540"/>
    <w:rsid w:val="00536C95"/>
    <w:rsid w:val="00537027"/>
    <w:rsid w:val="00537257"/>
    <w:rsid w:val="00540173"/>
    <w:rsid w:val="00540EFC"/>
    <w:rsid w:val="005412AC"/>
    <w:rsid w:val="00541337"/>
    <w:rsid w:val="00541865"/>
    <w:rsid w:val="00542C37"/>
    <w:rsid w:val="00543869"/>
    <w:rsid w:val="00543A5B"/>
    <w:rsid w:val="00543B6E"/>
    <w:rsid w:val="00543C36"/>
    <w:rsid w:val="00544050"/>
    <w:rsid w:val="0054528D"/>
    <w:rsid w:val="00546A2E"/>
    <w:rsid w:val="00546BF3"/>
    <w:rsid w:val="00550217"/>
    <w:rsid w:val="00550351"/>
    <w:rsid w:val="005505E3"/>
    <w:rsid w:val="00553704"/>
    <w:rsid w:val="0055562B"/>
    <w:rsid w:val="005559E3"/>
    <w:rsid w:val="00557ACE"/>
    <w:rsid w:val="00561D63"/>
    <w:rsid w:val="0056705B"/>
    <w:rsid w:val="0057028D"/>
    <w:rsid w:val="0057155B"/>
    <w:rsid w:val="00571763"/>
    <w:rsid w:val="005719F2"/>
    <w:rsid w:val="00572349"/>
    <w:rsid w:val="00573048"/>
    <w:rsid w:val="005730C1"/>
    <w:rsid w:val="0057329D"/>
    <w:rsid w:val="00575B8D"/>
    <w:rsid w:val="00575D5C"/>
    <w:rsid w:val="00576FF4"/>
    <w:rsid w:val="00577018"/>
    <w:rsid w:val="005805A8"/>
    <w:rsid w:val="005811BA"/>
    <w:rsid w:val="00582247"/>
    <w:rsid w:val="00582768"/>
    <w:rsid w:val="005838D9"/>
    <w:rsid w:val="00584184"/>
    <w:rsid w:val="005849DB"/>
    <w:rsid w:val="00585334"/>
    <w:rsid w:val="0058735A"/>
    <w:rsid w:val="005901B0"/>
    <w:rsid w:val="00590C24"/>
    <w:rsid w:val="00590D93"/>
    <w:rsid w:val="00590F17"/>
    <w:rsid w:val="005912CC"/>
    <w:rsid w:val="00591D22"/>
    <w:rsid w:val="00591EB8"/>
    <w:rsid w:val="0059204A"/>
    <w:rsid w:val="0059257A"/>
    <w:rsid w:val="005928A7"/>
    <w:rsid w:val="00594940"/>
    <w:rsid w:val="005952E2"/>
    <w:rsid w:val="00595339"/>
    <w:rsid w:val="00597DF1"/>
    <w:rsid w:val="005A008F"/>
    <w:rsid w:val="005A3159"/>
    <w:rsid w:val="005A411E"/>
    <w:rsid w:val="005A5206"/>
    <w:rsid w:val="005A62AC"/>
    <w:rsid w:val="005A746C"/>
    <w:rsid w:val="005A7800"/>
    <w:rsid w:val="005B1E31"/>
    <w:rsid w:val="005B386E"/>
    <w:rsid w:val="005B478B"/>
    <w:rsid w:val="005B58D6"/>
    <w:rsid w:val="005C1099"/>
    <w:rsid w:val="005C12CA"/>
    <w:rsid w:val="005C1E3A"/>
    <w:rsid w:val="005C2037"/>
    <w:rsid w:val="005C2DF0"/>
    <w:rsid w:val="005C2F1A"/>
    <w:rsid w:val="005C3932"/>
    <w:rsid w:val="005C3B60"/>
    <w:rsid w:val="005C4432"/>
    <w:rsid w:val="005D14BA"/>
    <w:rsid w:val="005D22F5"/>
    <w:rsid w:val="005D32A3"/>
    <w:rsid w:val="005D3952"/>
    <w:rsid w:val="005D3E43"/>
    <w:rsid w:val="005D40D4"/>
    <w:rsid w:val="005D5C84"/>
    <w:rsid w:val="005D79EF"/>
    <w:rsid w:val="005D7BE7"/>
    <w:rsid w:val="005E1061"/>
    <w:rsid w:val="005E1B84"/>
    <w:rsid w:val="005E2A0E"/>
    <w:rsid w:val="005E62E3"/>
    <w:rsid w:val="005E64E5"/>
    <w:rsid w:val="005F06F9"/>
    <w:rsid w:val="005F7CA5"/>
    <w:rsid w:val="005F7CAF"/>
    <w:rsid w:val="006016AC"/>
    <w:rsid w:val="00601816"/>
    <w:rsid w:val="0060199C"/>
    <w:rsid w:val="00602B90"/>
    <w:rsid w:val="00603D83"/>
    <w:rsid w:val="00604183"/>
    <w:rsid w:val="00604613"/>
    <w:rsid w:val="00604FB0"/>
    <w:rsid w:val="006051A3"/>
    <w:rsid w:val="00605CD5"/>
    <w:rsid w:val="0060743F"/>
    <w:rsid w:val="00607847"/>
    <w:rsid w:val="00607B2B"/>
    <w:rsid w:val="00610327"/>
    <w:rsid w:val="00614102"/>
    <w:rsid w:val="00614D9A"/>
    <w:rsid w:val="00614F47"/>
    <w:rsid w:val="006153A0"/>
    <w:rsid w:val="00615AAC"/>
    <w:rsid w:val="00615D8E"/>
    <w:rsid w:val="0061788D"/>
    <w:rsid w:val="00617FD6"/>
    <w:rsid w:val="0062070F"/>
    <w:rsid w:val="00621C0C"/>
    <w:rsid w:val="0062244F"/>
    <w:rsid w:val="0062342A"/>
    <w:rsid w:val="00623EBA"/>
    <w:rsid w:val="0062578A"/>
    <w:rsid w:val="0062593D"/>
    <w:rsid w:val="00626DFE"/>
    <w:rsid w:val="00627702"/>
    <w:rsid w:val="00632BBB"/>
    <w:rsid w:val="00633326"/>
    <w:rsid w:val="0063461B"/>
    <w:rsid w:val="00634736"/>
    <w:rsid w:val="00634DBA"/>
    <w:rsid w:val="006350A1"/>
    <w:rsid w:val="00635BA0"/>
    <w:rsid w:val="00635EF3"/>
    <w:rsid w:val="006406F4"/>
    <w:rsid w:val="00640F18"/>
    <w:rsid w:val="006416DA"/>
    <w:rsid w:val="006417EC"/>
    <w:rsid w:val="00642498"/>
    <w:rsid w:val="006437FE"/>
    <w:rsid w:val="00645DF9"/>
    <w:rsid w:val="00645E58"/>
    <w:rsid w:val="00646A84"/>
    <w:rsid w:val="00650B81"/>
    <w:rsid w:val="00652415"/>
    <w:rsid w:val="0065255B"/>
    <w:rsid w:val="0065365A"/>
    <w:rsid w:val="00654AD2"/>
    <w:rsid w:val="0065608D"/>
    <w:rsid w:val="00656274"/>
    <w:rsid w:val="00656AB8"/>
    <w:rsid w:val="006572C3"/>
    <w:rsid w:val="006577F2"/>
    <w:rsid w:val="00657E10"/>
    <w:rsid w:val="00657E58"/>
    <w:rsid w:val="00660EB5"/>
    <w:rsid w:val="00662212"/>
    <w:rsid w:val="0066335C"/>
    <w:rsid w:val="00665E28"/>
    <w:rsid w:val="006661B6"/>
    <w:rsid w:val="00666F41"/>
    <w:rsid w:val="0067029E"/>
    <w:rsid w:val="00671196"/>
    <w:rsid w:val="00671444"/>
    <w:rsid w:val="00672487"/>
    <w:rsid w:val="006753AE"/>
    <w:rsid w:val="00675723"/>
    <w:rsid w:val="006765DE"/>
    <w:rsid w:val="0067664E"/>
    <w:rsid w:val="00676D4F"/>
    <w:rsid w:val="00677B42"/>
    <w:rsid w:val="00680C1B"/>
    <w:rsid w:val="00682468"/>
    <w:rsid w:val="0068254D"/>
    <w:rsid w:val="00682C73"/>
    <w:rsid w:val="00683088"/>
    <w:rsid w:val="00683966"/>
    <w:rsid w:val="00683ECB"/>
    <w:rsid w:val="00684095"/>
    <w:rsid w:val="00684E0B"/>
    <w:rsid w:val="0068580C"/>
    <w:rsid w:val="00687FF2"/>
    <w:rsid w:val="0069100C"/>
    <w:rsid w:val="0069124C"/>
    <w:rsid w:val="00691926"/>
    <w:rsid w:val="00692560"/>
    <w:rsid w:val="00697E04"/>
    <w:rsid w:val="006A06EB"/>
    <w:rsid w:val="006A2469"/>
    <w:rsid w:val="006A28CE"/>
    <w:rsid w:val="006A29EA"/>
    <w:rsid w:val="006A2D59"/>
    <w:rsid w:val="006A437D"/>
    <w:rsid w:val="006A4B0B"/>
    <w:rsid w:val="006A593C"/>
    <w:rsid w:val="006A63AD"/>
    <w:rsid w:val="006A75EB"/>
    <w:rsid w:val="006B06AF"/>
    <w:rsid w:val="006B138B"/>
    <w:rsid w:val="006B1FA0"/>
    <w:rsid w:val="006B2D38"/>
    <w:rsid w:val="006B348B"/>
    <w:rsid w:val="006B36E1"/>
    <w:rsid w:val="006B6B5A"/>
    <w:rsid w:val="006B6C53"/>
    <w:rsid w:val="006B77BD"/>
    <w:rsid w:val="006C1073"/>
    <w:rsid w:val="006C10AB"/>
    <w:rsid w:val="006C1A84"/>
    <w:rsid w:val="006C1CC1"/>
    <w:rsid w:val="006C250B"/>
    <w:rsid w:val="006C420C"/>
    <w:rsid w:val="006C54A4"/>
    <w:rsid w:val="006C6CA5"/>
    <w:rsid w:val="006C6E36"/>
    <w:rsid w:val="006C703A"/>
    <w:rsid w:val="006C72E5"/>
    <w:rsid w:val="006C77EC"/>
    <w:rsid w:val="006D1E76"/>
    <w:rsid w:val="006D30FE"/>
    <w:rsid w:val="006D3C95"/>
    <w:rsid w:val="006E0CA3"/>
    <w:rsid w:val="006E1B6D"/>
    <w:rsid w:val="006E1F37"/>
    <w:rsid w:val="006E2BCE"/>
    <w:rsid w:val="006E3DA0"/>
    <w:rsid w:val="006E7C40"/>
    <w:rsid w:val="006F08A3"/>
    <w:rsid w:val="006F0E36"/>
    <w:rsid w:val="006F1462"/>
    <w:rsid w:val="006F1B05"/>
    <w:rsid w:val="006F342D"/>
    <w:rsid w:val="006F3FD5"/>
    <w:rsid w:val="006F44CB"/>
    <w:rsid w:val="006F4E9A"/>
    <w:rsid w:val="006F56D8"/>
    <w:rsid w:val="006F6308"/>
    <w:rsid w:val="0070093D"/>
    <w:rsid w:val="007009E3"/>
    <w:rsid w:val="00701AF0"/>
    <w:rsid w:val="00702631"/>
    <w:rsid w:val="007028F7"/>
    <w:rsid w:val="00704290"/>
    <w:rsid w:val="00706115"/>
    <w:rsid w:val="007065C5"/>
    <w:rsid w:val="007066D8"/>
    <w:rsid w:val="00713960"/>
    <w:rsid w:val="00715D11"/>
    <w:rsid w:val="00716989"/>
    <w:rsid w:val="007212C9"/>
    <w:rsid w:val="00721724"/>
    <w:rsid w:val="007223D6"/>
    <w:rsid w:val="00724C77"/>
    <w:rsid w:val="00724CA4"/>
    <w:rsid w:val="0072681F"/>
    <w:rsid w:val="00726B86"/>
    <w:rsid w:val="00727001"/>
    <w:rsid w:val="0072766F"/>
    <w:rsid w:val="00731ACF"/>
    <w:rsid w:val="00732B3F"/>
    <w:rsid w:val="007340C9"/>
    <w:rsid w:val="0073618E"/>
    <w:rsid w:val="00737217"/>
    <w:rsid w:val="00737C29"/>
    <w:rsid w:val="00737CBB"/>
    <w:rsid w:val="0074076C"/>
    <w:rsid w:val="00741F44"/>
    <w:rsid w:val="00742652"/>
    <w:rsid w:val="00743615"/>
    <w:rsid w:val="00743BB8"/>
    <w:rsid w:val="007470C4"/>
    <w:rsid w:val="007500A4"/>
    <w:rsid w:val="007522EC"/>
    <w:rsid w:val="00753336"/>
    <w:rsid w:val="00754A9F"/>
    <w:rsid w:val="00754B70"/>
    <w:rsid w:val="00755EC4"/>
    <w:rsid w:val="0075725A"/>
    <w:rsid w:val="00757690"/>
    <w:rsid w:val="0076580C"/>
    <w:rsid w:val="007678DA"/>
    <w:rsid w:val="0077281C"/>
    <w:rsid w:val="007728FC"/>
    <w:rsid w:val="00773AF5"/>
    <w:rsid w:val="0077498C"/>
    <w:rsid w:val="0077541C"/>
    <w:rsid w:val="007767CD"/>
    <w:rsid w:val="00776918"/>
    <w:rsid w:val="00777300"/>
    <w:rsid w:val="00777697"/>
    <w:rsid w:val="00780CD3"/>
    <w:rsid w:val="00781989"/>
    <w:rsid w:val="00782601"/>
    <w:rsid w:val="00782FAA"/>
    <w:rsid w:val="00783795"/>
    <w:rsid w:val="00783A96"/>
    <w:rsid w:val="00785273"/>
    <w:rsid w:val="0078654A"/>
    <w:rsid w:val="007870A8"/>
    <w:rsid w:val="0078771C"/>
    <w:rsid w:val="00790718"/>
    <w:rsid w:val="00792225"/>
    <w:rsid w:val="00794CA2"/>
    <w:rsid w:val="00796724"/>
    <w:rsid w:val="007A10E9"/>
    <w:rsid w:val="007A137D"/>
    <w:rsid w:val="007A14FB"/>
    <w:rsid w:val="007A2EF8"/>
    <w:rsid w:val="007A41B9"/>
    <w:rsid w:val="007A4377"/>
    <w:rsid w:val="007A4BFC"/>
    <w:rsid w:val="007A4FE0"/>
    <w:rsid w:val="007A5155"/>
    <w:rsid w:val="007A58DB"/>
    <w:rsid w:val="007A5F61"/>
    <w:rsid w:val="007A6C13"/>
    <w:rsid w:val="007B0007"/>
    <w:rsid w:val="007B0E8A"/>
    <w:rsid w:val="007B18A7"/>
    <w:rsid w:val="007B22B4"/>
    <w:rsid w:val="007B2541"/>
    <w:rsid w:val="007B3C31"/>
    <w:rsid w:val="007B477E"/>
    <w:rsid w:val="007B6936"/>
    <w:rsid w:val="007B7735"/>
    <w:rsid w:val="007C0DFC"/>
    <w:rsid w:val="007C3199"/>
    <w:rsid w:val="007C335B"/>
    <w:rsid w:val="007C39C6"/>
    <w:rsid w:val="007C4671"/>
    <w:rsid w:val="007C5480"/>
    <w:rsid w:val="007C596C"/>
    <w:rsid w:val="007C6489"/>
    <w:rsid w:val="007C6642"/>
    <w:rsid w:val="007C7B20"/>
    <w:rsid w:val="007D0362"/>
    <w:rsid w:val="007D10C7"/>
    <w:rsid w:val="007D1900"/>
    <w:rsid w:val="007D324B"/>
    <w:rsid w:val="007D4B00"/>
    <w:rsid w:val="007D5BF2"/>
    <w:rsid w:val="007D6195"/>
    <w:rsid w:val="007D6EC1"/>
    <w:rsid w:val="007D7AA5"/>
    <w:rsid w:val="007E024F"/>
    <w:rsid w:val="007E1960"/>
    <w:rsid w:val="007E1BAB"/>
    <w:rsid w:val="007E2A57"/>
    <w:rsid w:val="007E2E21"/>
    <w:rsid w:val="007E2FC6"/>
    <w:rsid w:val="007E4420"/>
    <w:rsid w:val="007E44BA"/>
    <w:rsid w:val="007E5D21"/>
    <w:rsid w:val="007E5EB9"/>
    <w:rsid w:val="007F003C"/>
    <w:rsid w:val="007F09CD"/>
    <w:rsid w:val="007F23CF"/>
    <w:rsid w:val="007F3D46"/>
    <w:rsid w:val="007F3EA4"/>
    <w:rsid w:val="007F4FE1"/>
    <w:rsid w:val="007F6C56"/>
    <w:rsid w:val="007F7069"/>
    <w:rsid w:val="0080018D"/>
    <w:rsid w:val="00800422"/>
    <w:rsid w:val="008017DD"/>
    <w:rsid w:val="008029A2"/>
    <w:rsid w:val="00804D47"/>
    <w:rsid w:val="00805502"/>
    <w:rsid w:val="008072D0"/>
    <w:rsid w:val="00810A7C"/>
    <w:rsid w:val="00810F43"/>
    <w:rsid w:val="008116F4"/>
    <w:rsid w:val="00813262"/>
    <w:rsid w:val="00814CA9"/>
    <w:rsid w:val="00815987"/>
    <w:rsid w:val="00815BA8"/>
    <w:rsid w:val="00817E4C"/>
    <w:rsid w:val="00821603"/>
    <w:rsid w:val="0082256B"/>
    <w:rsid w:val="0082266C"/>
    <w:rsid w:val="00822CB9"/>
    <w:rsid w:val="00825096"/>
    <w:rsid w:val="0082606C"/>
    <w:rsid w:val="00831257"/>
    <w:rsid w:val="0083140F"/>
    <w:rsid w:val="00833CB8"/>
    <w:rsid w:val="00834A04"/>
    <w:rsid w:val="008376C2"/>
    <w:rsid w:val="008377F9"/>
    <w:rsid w:val="00840242"/>
    <w:rsid w:val="008407D9"/>
    <w:rsid w:val="00841C9C"/>
    <w:rsid w:val="00842260"/>
    <w:rsid w:val="00842714"/>
    <w:rsid w:val="00843F7B"/>
    <w:rsid w:val="0084438E"/>
    <w:rsid w:val="0084492D"/>
    <w:rsid w:val="00844D1E"/>
    <w:rsid w:val="00844EE4"/>
    <w:rsid w:val="00846E7C"/>
    <w:rsid w:val="00847E50"/>
    <w:rsid w:val="008500A1"/>
    <w:rsid w:val="00855613"/>
    <w:rsid w:val="0085641A"/>
    <w:rsid w:val="00857405"/>
    <w:rsid w:val="0086103D"/>
    <w:rsid w:val="00862B4E"/>
    <w:rsid w:val="008634C1"/>
    <w:rsid w:val="0086368E"/>
    <w:rsid w:val="00863785"/>
    <w:rsid w:val="00864B60"/>
    <w:rsid w:val="008657A9"/>
    <w:rsid w:val="008658D6"/>
    <w:rsid w:val="00865AFC"/>
    <w:rsid w:val="00866D7F"/>
    <w:rsid w:val="00866FB1"/>
    <w:rsid w:val="008707CE"/>
    <w:rsid w:val="00870F59"/>
    <w:rsid w:val="00871138"/>
    <w:rsid w:val="008715FB"/>
    <w:rsid w:val="00871BB7"/>
    <w:rsid w:val="00872D83"/>
    <w:rsid w:val="00873461"/>
    <w:rsid w:val="0087407C"/>
    <w:rsid w:val="0087489D"/>
    <w:rsid w:val="0087548B"/>
    <w:rsid w:val="00875C08"/>
    <w:rsid w:val="00876770"/>
    <w:rsid w:val="00876DEE"/>
    <w:rsid w:val="00880526"/>
    <w:rsid w:val="00881840"/>
    <w:rsid w:val="00881CEC"/>
    <w:rsid w:val="008820B5"/>
    <w:rsid w:val="008823CE"/>
    <w:rsid w:val="00882478"/>
    <w:rsid w:val="00882A60"/>
    <w:rsid w:val="00883DA1"/>
    <w:rsid w:val="00885125"/>
    <w:rsid w:val="0088638D"/>
    <w:rsid w:val="008863D9"/>
    <w:rsid w:val="0088649E"/>
    <w:rsid w:val="00886785"/>
    <w:rsid w:val="00886AF7"/>
    <w:rsid w:val="008900E7"/>
    <w:rsid w:val="0089136B"/>
    <w:rsid w:val="00891FAA"/>
    <w:rsid w:val="008928BB"/>
    <w:rsid w:val="008932CD"/>
    <w:rsid w:val="00893FB3"/>
    <w:rsid w:val="00894DCD"/>
    <w:rsid w:val="00895924"/>
    <w:rsid w:val="00896261"/>
    <w:rsid w:val="00896342"/>
    <w:rsid w:val="00897079"/>
    <w:rsid w:val="00897B81"/>
    <w:rsid w:val="00897C19"/>
    <w:rsid w:val="008A021C"/>
    <w:rsid w:val="008A0D84"/>
    <w:rsid w:val="008A17EB"/>
    <w:rsid w:val="008A1B70"/>
    <w:rsid w:val="008A3112"/>
    <w:rsid w:val="008A4792"/>
    <w:rsid w:val="008A4D0B"/>
    <w:rsid w:val="008A6B9B"/>
    <w:rsid w:val="008A7CAD"/>
    <w:rsid w:val="008B09E1"/>
    <w:rsid w:val="008B1010"/>
    <w:rsid w:val="008B2E7B"/>
    <w:rsid w:val="008B3160"/>
    <w:rsid w:val="008B3608"/>
    <w:rsid w:val="008B6A84"/>
    <w:rsid w:val="008B79F0"/>
    <w:rsid w:val="008C0847"/>
    <w:rsid w:val="008C0CD5"/>
    <w:rsid w:val="008C3036"/>
    <w:rsid w:val="008C35AC"/>
    <w:rsid w:val="008C3DA2"/>
    <w:rsid w:val="008C6307"/>
    <w:rsid w:val="008D02C0"/>
    <w:rsid w:val="008D050B"/>
    <w:rsid w:val="008D11B3"/>
    <w:rsid w:val="008D1674"/>
    <w:rsid w:val="008D169C"/>
    <w:rsid w:val="008D28EB"/>
    <w:rsid w:val="008D3790"/>
    <w:rsid w:val="008D505D"/>
    <w:rsid w:val="008D57A3"/>
    <w:rsid w:val="008D5B96"/>
    <w:rsid w:val="008D6259"/>
    <w:rsid w:val="008D68AE"/>
    <w:rsid w:val="008E0764"/>
    <w:rsid w:val="008E165B"/>
    <w:rsid w:val="008E191D"/>
    <w:rsid w:val="008E3835"/>
    <w:rsid w:val="008E4D6E"/>
    <w:rsid w:val="008E545B"/>
    <w:rsid w:val="008F11C2"/>
    <w:rsid w:val="008F1554"/>
    <w:rsid w:val="008F2CC6"/>
    <w:rsid w:val="008F2DD5"/>
    <w:rsid w:val="008F3868"/>
    <w:rsid w:val="008F43FC"/>
    <w:rsid w:val="008F54C5"/>
    <w:rsid w:val="008F56BF"/>
    <w:rsid w:val="008F59B6"/>
    <w:rsid w:val="008F7883"/>
    <w:rsid w:val="00900779"/>
    <w:rsid w:val="00900A9C"/>
    <w:rsid w:val="00900D1A"/>
    <w:rsid w:val="00901380"/>
    <w:rsid w:val="00901CFA"/>
    <w:rsid w:val="00903019"/>
    <w:rsid w:val="009043B5"/>
    <w:rsid w:val="0090557B"/>
    <w:rsid w:val="00905AC8"/>
    <w:rsid w:val="009062FB"/>
    <w:rsid w:val="0091015C"/>
    <w:rsid w:val="00910B32"/>
    <w:rsid w:val="00910C3B"/>
    <w:rsid w:val="00911AC4"/>
    <w:rsid w:val="00911D0A"/>
    <w:rsid w:val="009120C5"/>
    <w:rsid w:val="0091611D"/>
    <w:rsid w:val="00916C60"/>
    <w:rsid w:val="0091717B"/>
    <w:rsid w:val="00917D69"/>
    <w:rsid w:val="009205AF"/>
    <w:rsid w:val="00921AA0"/>
    <w:rsid w:val="00921ABD"/>
    <w:rsid w:val="00921B45"/>
    <w:rsid w:val="009238CF"/>
    <w:rsid w:val="00923DB7"/>
    <w:rsid w:val="00924443"/>
    <w:rsid w:val="00924EDF"/>
    <w:rsid w:val="00925860"/>
    <w:rsid w:val="00926233"/>
    <w:rsid w:val="00933D53"/>
    <w:rsid w:val="0093482D"/>
    <w:rsid w:val="00934F48"/>
    <w:rsid w:val="00935634"/>
    <w:rsid w:val="00937654"/>
    <w:rsid w:val="00937D4A"/>
    <w:rsid w:val="00942771"/>
    <w:rsid w:val="00942BE1"/>
    <w:rsid w:val="009435A3"/>
    <w:rsid w:val="00943C58"/>
    <w:rsid w:val="0094726C"/>
    <w:rsid w:val="009516C2"/>
    <w:rsid w:val="0095369B"/>
    <w:rsid w:val="009538AA"/>
    <w:rsid w:val="00954815"/>
    <w:rsid w:val="0095554C"/>
    <w:rsid w:val="00957BFA"/>
    <w:rsid w:val="0096054A"/>
    <w:rsid w:val="00962613"/>
    <w:rsid w:val="00962FE9"/>
    <w:rsid w:val="00964911"/>
    <w:rsid w:val="009651C0"/>
    <w:rsid w:val="00965222"/>
    <w:rsid w:val="00965987"/>
    <w:rsid w:val="00967005"/>
    <w:rsid w:val="0096707A"/>
    <w:rsid w:val="0097176E"/>
    <w:rsid w:val="00973B69"/>
    <w:rsid w:val="00974E7A"/>
    <w:rsid w:val="00975E01"/>
    <w:rsid w:val="00976556"/>
    <w:rsid w:val="00976751"/>
    <w:rsid w:val="00977BC6"/>
    <w:rsid w:val="0098110A"/>
    <w:rsid w:val="009811C7"/>
    <w:rsid w:val="00982395"/>
    <w:rsid w:val="009834D2"/>
    <w:rsid w:val="00983B63"/>
    <w:rsid w:val="00984149"/>
    <w:rsid w:val="00984C61"/>
    <w:rsid w:val="00986D28"/>
    <w:rsid w:val="00987C0E"/>
    <w:rsid w:val="0099073F"/>
    <w:rsid w:val="00991999"/>
    <w:rsid w:val="00991AC7"/>
    <w:rsid w:val="00993897"/>
    <w:rsid w:val="00994E88"/>
    <w:rsid w:val="00994F7D"/>
    <w:rsid w:val="00995A88"/>
    <w:rsid w:val="00997462"/>
    <w:rsid w:val="0099791C"/>
    <w:rsid w:val="009A2000"/>
    <w:rsid w:val="009A3253"/>
    <w:rsid w:val="009A3A70"/>
    <w:rsid w:val="009A524E"/>
    <w:rsid w:val="009A5C21"/>
    <w:rsid w:val="009A63F7"/>
    <w:rsid w:val="009A7D3D"/>
    <w:rsid w:val="009B2552"/>
    <w:rsid w:val="009B343F"/>
    <w:rsid w:val="009B3B09"/>
    <w:rsid w:val="009B4870"/>
    <w:rsid w:val="009B50A6"/>
    <w:rsid w:val="009B59D2"/>
    <w:rsid w:val="009B6D1E"/>
    <w:rsid w:val="009C087E"/>
    <w:rsid w:val="009C16DC"/>
    <w:rsid w:val="009C1750"/>
    <w:rsid w:val="009C24BF"/>
    <w:rsid w:val="009C29EC"/>
    <w:rsid w:val="009C2B08"/>
    <w:rsid w:val="009C32AD"/>
    <w:rsid w:val="009C46A0"/>
    <w:rsid w:val="009C5114"/>
    <w:rsid w:val="009C5C7D"/>
    <w:rsid w:val="009C6559"/>
    <w:rsid w:val="009C6582"/>
    <w:rsid w:val="009C691B"/>
    <w:rsid w:val="009C7345"/>
    <w:rsid w:val="009D0C3F"/>
    <w:rsid w:val="009D1A26"/>
    <w:rsid w:val="009D29AE"/>
    <w:rsid w:val="009D321B"/>
    <w:rsid w:val="009D3F96"/>
    <w:rsid w:val="009D5778"/>
    <w:rsid w:val="009D5E25"/>
    <w:rsid w:val="009D641E"/>
    <w:rsid w:val="009D6E18"/>
    <w:rsid w:val="009E0045"/>
    <w:rsid w:val="009E0122"/>
    <w:rsid w:val="009E0509"/>
    <w:rsid w:val="009E205F"/>
    <w:rsid w:val="009E432B"/>
    <w:rsid w:val="009E4EE1"/>
    <w:rsid w:val="009E52AD"/>
    <w:rsid w:val="009E6F99"/>
    <w:rsid w:val="009E753E"/>
    <w:rsid w:val="009F1134"/>
    <w:rsid w:val="009F1A70"/>
    <w:rsid w:val="009F26E5"/>
    <w:rsid w:val="009F5E43"/>
    <w:rsid w:val="009F65B7"/>
    <w:rsid w:val="009F68A2"/>
    <w:rsid w:val="009F74A9"/>
    <w:rsid w:val="009F7FA4"/>
    <w:rsid w:val="00A00CDA"/>
    <w:rsid w:val="00A01B1A"/>
    <w:rsid w:val="00A01FA4"/>
    <w:rsid w:val="00A031A6"/>
    <w:rsid w:val="00A03894"/>
    <w:rsid w:val="00A03F42"/>
    <w:rsid w:val="00A04CB1"/>
    <w:rsid w:val="00A04F1A"/>
    <w:rsid w:val="00A0573F"/>
    <w:rsid w:val="00A05B58"/>
    <w:rsid w:val="00A0606F"/>
    <w:rsid w:val="00A07E4A"/>
    <w:rsid w:val="00A102C5"/>
    <w:rsid w:val="00A11799"/>
    <w:rsid w:val="00A11877"/>
    <w:rsid w:val="00A11C1D"/>
    <w:rsid w:val="00A134A8"/>
    <w:rsid w:val="00A134DF"/>
    <w:rsid w:val="00A13705"/>
    <w:rsid w:val="00A13D1E"/>
    <w:rsid w:val="00A151F1"/>
    <w:rsid w:val="00A16D51"/>
    <w:rsid w:val="00A17C96"/>
    <w:rsid w:val="00A17FF3"/>
    <w:rsid w:val="00A20609"/>
    <w:rsid w:val="00A20A72"/>
    <w:rsid w:val="00A21E4B"/>
    <w:rsid w:val="00A22E5F"/>
    <w:rsid w:val="00A230DB"/>
    <w:rsid w:val="00A2341F"/>
    <w:rsid w:val="00A23A00"/>
    <w:rsid w:val="00A23EE4"/>
    <w:rsid w:val="00A24FB3"/>
    <w:rsid w:val="00A25403"/>
    <w:rsid w:val="00A30A5F"/>
    <w:rsid w:val="00A32582"/>
    <w:rsid w:val="00A32C78"/>
    <w:rsid w:val="00A33A1F"/>
    <w:rsid w:val="00A36261"/>
    <w:rsid w:val="00A36557"/>
    <w:rsid w:val="00A366A1"/>
    <w:rsid w:val="00A36D91"/>
    <w:rsid w:val="00A37BC4"/>
    <w:rsid w:val="00A43B69"/>
    <w:rsid w:val="00A45643"/>
    <w:rsid w:val="00A45AC3"/>
    <w:rsid w:val="00A507A6"/>
    <w:rsid w:val="00A53FB7"/>
    <w:rsid w:val="00A54190"/>
    <w:rsid w:val="00A565B8"/>
    <w:rsid w:val="00A604EA"/>
    <w:rsid w:val="00A60F28"/>
    <w:rsid w:val="00A611DA"/>
    <w:rsid w:val="00A61879"/>
    <w:rsid w:val="00A61B02"/>
    <w:rsid w:val="00A621C1"/>
    <w:rsid w:val="00A624D8"/>
    <w:rsid w:val="00A6293C"/>
    <w:rsid w:val="00A62E1B"/>
    <w:rsid w:val="00A6475B"/>
    <w:rsid w:val="00A66503"/>
    <w:rsid w:val="00A67889"/>
    <w:rsid w:val="00A6789B"/>
    <w:rsid w:val="00A7026A"/>
    <w:rsid w:val="00A703EA"/>
    <w:rsid w:val="00A736E7"/>
    <w:rsid w:val="00A74F32"/>
    <w:rsid w:val="00A76287"/>
    <w:rsid w:val="00A767BE"/>
    <w:rsid w:val="00A77B5A"/>
    <w:rsid w:val="00A77FA7"/>
    <w:rsid w:val="00A82558"/>
    <w:rsid w:val="00A82B39"/>
    <w:rsid w:val="00A82F52"/>
    <w:rsid w:val="00A83F2C"/>
    <w:rsid w:val="00A84154"/>
    <w:rsid w:val="00A8428C"/>
    <w:rsid w:val="00A85906"/>
    <w:rsid w:val="00A86F2A"/>
    <w:rsid w:val="00A8720B"/>
    <w:rsid w:val="00A919DB"/>
    <w:rsid w:val="00A91A23"/>
    <w:rsid w:val="00A921F5"/>
    <w:rsid w:val="00A95CF2"/>
    <w:rsid w:val="00A96EC4"/>
    <w:rsid w:val="00A97B47"/>
    <w:rsid w:val="00AA06F4"/>
    <w:rsid w:val="00AA28EA"/>
    <w:rsid w:val="00AA2CB5"/>
    <w:rsid w:val="00AA4EDC"/>
    <w:rsid w:val="00AA6AAB"/>
    <w:rsid w:val="00AA6C65"/>
    <w:rsid w:val="00AA7D8E"/>
    <w:rsid w:val="00AB1BB4"/>
    <w:rsid w:val="00AB4970"/>
    <w:rsid w:val="00AB4A4F"/>
    <w:rsid w:val="00AB4DF5"/>
    <w:rsid w:val="00AB4F86"/>
    <w:rsid w:val="00AB52BB"/>
    <w:rsid w:val="00AB5FD3"/>
    <w:rsid w:val="00AB7374"/>
    <w:rsid w:val="00AC12AF"/>
    <w:rsid w:val="00AC1A7A"/>
    <w:rsid w:val="00AC2797"/>
    <w:rsid w:val="00AC2C87"/>
    <w:rsid w:val="00AC4374"/>
    <w:rsid w:val="00AC7A04"/>
    <w:rsid w:val="00AC7F64"/>
    <w:rsid w:val="00AD0411"/>
    <w:rsid w:val="00AD070E"/>
    <w:rsid w:val="00AD0BC2"/>
    <w:rsid w:val="00AD2597"/>
    <w:rsid w:val="00AD25F3"/>
    <w:rsid w:val="00AD26EF"/>
    <w:rsid w:val="00AD3869"/>
    <w:rsid w:val="00AD4E99"/>
    <w:rsid w:val="00AD58AF"/>
    <w:rsid w:val="00AD699F"/>
    <w:rsid w:val="00AE24CE"/>
    <w:rsid w:val="00AE2CB4"/>
    <w:rsid w:val="00AE4374"/>
    <w:rsid w:val="00AE4888"/>
    <w:rsid w:val="00AE55ED"/>
    <w:rsid w:val="00AE57CA"/>
    <w:rsid w:val="00AE61FF"/>
    <w:rsid w:val="00AE68F5"/>
    <w:rsid w:val="00AE78CA"/>
    <w:rsid w:val="00AF00D9"/>
    <w:rsid w:val="00AF04E1"/>
    <w:rsid w:val="00AF0ED6"/>
    <w:rsid w:val="00AF1764"/>
    <w:rsid w:val="00AF1CC9"/>
    <w:rsid w:val="00AF25DB"/>
    <w:rsid w:val="00AF3B45"/>
    <w:rsid w:val="00AF40A5"/>
    <w:rsid w:val="00AF5B5F"/>
    <w:rsid w:val="00AF7F25"/>
    <w:rsid w:val="00B000B0"/>
    <w:rsid w:val="00B00164"/>
    <w:rsid w:val="00B00561"/>
    <w:rsid w:val="00B00F1B"/>
    <w:rsid w:val="00B035FC"/>
    <w:rsid w:val="00B03B19"/>
    <w:rsid w:val="00B03B1F"/>
    <w:rsid w:val="00B03F49"/>
    <w:rsid w:val="00B0533C"/>
    <w:rsid w:val="00B053B0"/>
    <w:rsid w:val="00B10337"/>
    <w:rsid w:val="00B108D6"/>
    <w:rsid w:val="00B10BF6"/>
    <w:rsid w:val="00B12840"/>
    <w:rsid w:val="00B12EC0"/>
    <w:rsid w:val="00B14682"/>
    <w:rsid w:val="00B15E94"/>
    <w:rsid w:val="00B16947"/>
    <w:rsid w:val="00B16F56"/>
    <w:rsid w:val="00B20C1E"/>
    <w:rsid w:val="00B20ECF"/>
    <w:rsid w:val="00B21407"/>
    <w:rsid w:val="00B214A5"/>
    <w:rsid w:val="00B21F14"/>
    <w:rsid w:val="00B223E9"/>
    <w:rsid w:val="00B2244D"/>
    <w:rsid w:val="00B239F4"/>
    <w:rsid w:val="00B2463B"/>
    <w:rsid w:val="00B254E4"/>
    <w:rsid w:val="00B274FB"/>
    <w:rsid w:val="00B27BF4"/>
    <w:rsid w:val="00B311FD"/>
    <w:rsid w:val="00B3467F"/>
    <w:rsid w:val="00B364FB"/>
    <w:rsid w:val="00B40173"/>
    <w:rsid w:val="00B40564"/>
    <w:rsid w:val="00B40843"/>
    <w:rsid w:val="00B41777"/>
    <w:rsid w:val="00B41C97"/>
    <w:rsid w:val="00B435F3"/>
    <w:rsid w:val="00B43794"/>
    <w:rsid w:val="00B44677"/>
    <w:rsid w:val="00B4730A"/>
    <w:rsid w:val="00B47FF4"/>
    <w:rsid w:val="00B52270"/>
    <w:rsid w:val="00B52808"/>
    <w:rsid w:val="00B5398F"/>
    <w:rsid w:val="00B55EB0"/>
    <w:rsid w:val="00B56849"/>
    <w:rsid w:val="00B6099F"/>
    <w:rsid w:val="00B60EAA"/>
    <w:rsid w:val="00B64732"/>
    <w:rsid w:val="00B65BCA"/>
    <w:rsid w:val="00B66183"/>
    <w:rsid w:val="00B6643A"/>
    <w:rsid w:val="00B66D67"/>
    <w:rsid w:val="00B66FC5"/>
    <w:rsid w:val="00B67703"/>
    <w:rsid w:val="00B73199"/>
    <w:rsid w:val="00B7337D"/>
    <w:rsid w:val="00B73397"/>
    <w:rsid w:val="00B7595E"/>
    <w:rsid w:val="00B75D73"/>
    <w:rsid w:val="00B7628E"/>
    <w:rsid w:val="00B77328"/>
    <w:rsid w:val="00B775AF"/>
    <w:rsid w:val="00B8038C"/>
    <w:rsid w:val="00B83EE0"/>
    <w:rsid w:val="00B865F2"/>
    <w:rsid w:val="00B8733E"/>
    <w:rsid w:val="00B90C15"/>
    <w:rsid w:val="00B93BED"/>
    <w:rsid w:val="00B9515D"/>
    <w:rsid w:val="00B95A7C"/>
    <w:rsid w:val="00B96D79"/>
    <w:rsid w:val="00B973FF"/>
    <w:rsid w:val="00BA077E"/>
    <w:rsid w:val="00BA4242"/>
    <w:rsid w:val="00BA4990"/>
    <w:rsid w:val="00BA5997"/>
    <w:rsid w:val="00BA6405"/>
    <w:rsid w:val="00BA6EF5"/>
    <w:rsid w:val="00BA7014"/>
    <w:rsid w:val="00BA7EF7"/>
    <w:rsid w:val="00BA7F51"/>
    <w:rsid w:val="00BB04A8"/>
    <w:rsid w:val="00BB0FDF"/>
    <w:rsid w:val="00BB1345"/>
    <w:rsid w:val="00BB19F5"/>
    <w:rsid w:val="00BB641F"/>
    <w:rsid w:val="00BB67E3"/>
    <w:rsid w:val="00BB6A0D"/>
    <w:rsid w:val="00BB7B30"/>
    <w:rsid w:val="00BB7E7A"/>
    <w:rsid w:val="00BC04CF"/>
    <w:rsid w:val="00BC31C9"/>
    <w:rsid w:val="00BC488E"/>
    <w:rsid w:val="00BC6E39"/>
    <w:rsid w:val="00BD0109"/>
    <w:rsid w:val="00BD1BDB"/>
    <w:rsid w:val="00BD2A25"/>
    <w:rsid w:val="00BD3BB8"/>
    <w:rsid w:val="00BD4272"/>
    <w:rsid w:val="00BD4491"/>
    <w:rsid w:val="00BD6FF3"/>
    <w:rsid w:val="00BE00E7"/>
    <w:rsid w:val="00BE0144"/>
    <w:rsid w:val="00BE1BEF"/>
    <w:rsid w:val="00BE1D77"/>
    <w:rsid w:val="00BE21C2"/>
    <w:rsid w:val="00BE2E66"/>
    <w:rsid w:val="00BE3B3F"/>
    <w:rsid w:val="00BE42CB"/>
    <w:rsid w:val="00BE51C7"/>
    <w:rsid w:val="00BF128E"/>
    <w:rsid w:val="00BF49C7"/>
    <w:rsid w:val="00BF4E0C"/>
    <w:rsid w:val="00BF5A2E"/>
    <w:rsid w:val="00BF6770"/>
    <w:rsid w:val="00BF6F0C"/>
    <w:rsid w:val="00BF76BC"/>
    <w:rsid w:val="00C0054E"/>
    <w:rsid w:val="00C016B0"/>
    <w:rsid w:val="00C01D98"/>
    <w:rsid w:val="00C037E6"/>
    <w:rsid w:val="00C03F67"/>
    <w:rsid w:val="00C04449"/>
    <w:rsid w:val="00C04E94"/>
    <w:rsid w:val="00C0653F"/>
    <w:rsid w:val="00C07244"/>
    <w:rsid w:val="00C07C99"/>
    <w:rsid w:val="00C10723"/>
    <w:rsid w:val="00C15458"/>
    <w:rsid w:val="00C155C6"/>
    <w:rsid w:val="00C15991"/>
    <w:rsid w:val="00C15D7B"/>
    <w:rsid w:val="00C16989"/>
    <w:rsid w:val="00C16CF8"/>
    <w:rsid w:val="00C17836"/>
    <w:rsid w:val="00C17BAF"/>
    <w:rsid w:val="00C21AA7"/>
    <w:rsid w:val="00C21C6A"/>
    <w:rsid w:val="00C21F9D"/>
    <w:rsid w:val="00C235CE"/>
    <w:rsid w:val="00C2731F"/>
    <w:rsid w:val="00C313F0"/>
    <w:rsid w:val="00C330FB"/>
    <w:rsid w:val="00C345FE"/>
    <w:rsid w:val="00C34DB1"/>
    <w:rsid w:val="00C376FF"/>
    <w:rsid w:val="00C37C24"/>
    <w:rsid w:val="00C37D24"/>
    <w:rsid w:val="00C37E20"/>
    <w:rsid w:val="00C37E42"/>
    <w:rsid w:val="00C44575"/>
    <w:rsid w:val="00C45568"/>
    <w:rsid w:val="00C46780"/>
    <w:rsid w:val="00C46BAD"/>
    <w:rsid w:val="00C46FFC"/>
    <w:rsid w:val="00C5117B"/>
    <w:rsid w:val="00C5162D"/>
    <w:rsid w:val="00C51F76"/>
    <w:rsid w:val="00C520A8"/>
    <w:rsid w:val="00C52100"/>
    <w:rsid w:val="00C526BE"/>
    <w:rsid w:val="00C52B00"/>
    <w:rsid w:val="00C53813"/>
    <w:rsid w:val="00C54781"/>
    <w:rsid w:val="00C54EFC"/>
    <w:rsid w:val="00C55132"/>
    <w:rsid w:val="00C55167"/>
    <w:rsid w:val="00C5535D"/>
    <w:rsid w:val="00C55EB5"/>
    <w:rsid w:val="00C56819"/>
    <w:rsid w:val="00C56BF8"/>
    <w:rsid w:val="00C61DF9"/>
    <w:rsid w:val="00C62268"/>
    <w:rsid w:val="00C634C1"/>
    <w:rsid w:val="00C635FD"/>
    <w:rsid w:val="00C64D96"/>
    <w:rsid w:val="00C65974"/>
    <w:rsid w:val="00C678C8"/>
    <w:rsid w:val="00C704BB"/>
    <w:rsid w:val="00C7085F"/>
    <w:rsid w:val="00C71053"/>
    <w:rsid w:val="00C7193E"/>
    <w:rsid w:val="00C71980"/>
    <w:rsid w:val="00C726C7"/>
    <w:rsid w:val="00C74341"/>
    <w:rsid w:val="00C76AA5"/>
    <w:rsid w:val="00C80653"/>
    <w:rsid w:val="00C81AA5"/>
    <w:rsid w:val="00C81E33"/>
    <w:rsid w:val="00C82D7C"/>
    <w:rsid w:val="00C83623"/>
    <w:rsid w:val="00C87DB4"/>
    <w:rsid w:val="00C90D7B"/>
    <w:rsid w:val="00C91395"/>
    <w:rsid w:val="00C927D7"/>
    <w:rsid w:val="00C934D3"/>
    <w:rsid w:val="00C93648"/>
    <w:rsid w:val="00C94E95"/>
    <w:rsid w:val="00C95BDF"/>
    <w:rsid w:val="00C95CB1"/>
    <w:rsid w:val="00C96184"/>
    <w:rsid w:val="00C96482"/>
    <w:rsid w:val="00C972EC"/>
    <w:rsid w:val="00CA153E"/>
    <w:rsid w:val="00CA32E6"/>
    <w:rsid w:val="00CA46CE"/>
    <w:rsid w:val="00CA525A"/>
    <w:rsid w:val="00CA6DCE"/>
    <w:rsid w:val="00CA7018"/>
    <w:rsid w:val="00CB0A42"/>
    <w:rsid w:val="00CB1865"/>
    <w:rsid w:val="00CB29E9"/>
    <w:rsid w:val="00CB3BAA"/>
    <w:rsid w:val="00CB4C98"/>
    <w:rsid w:val="00CB4F81"/>
    <w:rsid w:val="00CB597F"/>
    <w:rsid w:val="00CB5CBA"/>
    <w:rsid w:val="00CB6A1F"/>
    <w:rsid w:val="00CB720B"/>
    <w:rsid w:val="00CB7290"/>
    <w:rsid w:val="00CC130B"/>
    <w:rsid w:val="00CC1B7A"/>
    <w:rsid w:val="00CC34A7"/>
    <w:rsid w:val="00CC5612"/>
    <w:rsid w:val="00CC57AC"/>
    <w:rsid w:val="00CC5A8B"/>
    <w:rsid w:val="00CC5DF2"/>
    <w:rsid w:val="00CC647F"/>
    <w:rsid w:val="00CC72E4"/>
    <w:rsid w:val="00CC7BF9"/>
    <w:rsid w:val="00CD0382"/>
    <w:rsid w:val="00CD1A8E"/>
    <w:rsid w:val="00CD1E9A"/>
    <w:rsid w:val="00CD2E49"/>
    <w:rsid w:val="00CD368B"/>
    <w:rsid w:val="00CD3DCB"/>
    <w:rsid w:val="00CD4947"/>
    <w:rsid w:val="00CD4B8C"/>
    <w:rsid w:val="00CD5598"/>
    <w:rsid w:val="00CD7797"/>
    <w:rsid w:val="00CE1586"/>
    <w:rsid w:val="00CE318E"/>
    <w:rsid w:val="00CE344D"/>
    <w:rsid w:val="00CE5494"/>
    <w:rsid w:val="00CE5BC2"/>
    <w:rsid w:val="00CE5FF0"/>
    <w:rsid w:val="00CE61F7"/>
    <w:rsid w:val="00CE62FD"/>
    <w:rsid w:val="00CF2418"/>
    <w:rsid w:val="00CF4DE0"/>
    <w:rsid w:val="00CF501B"/>
    <w:rsid w:val="00CF7899"/>
    <w:rsid w:val="00D00C15"/>
    <w:rsid w:val="00D0114D"/>
    <w:rsid w:val="00D01D1A"/>
    <w:rsid w:val="00D02082"/>
    <w:rsid w:val="00D02606"/>
    <w:rsid w:val="00D03967"/>
    <w:rsid w:val="00D042F5"/>
    <w:rsid w:val="00D06384"/>
    <w:rsid w:val="00D06419"/>
    <w:rsid w:val="00D06A68"/>
    <w:rsid w:val="00D07459"/>
    <w:rsid w:val="00D12FC0"/>
    <w:rsid w:val="00D146A1"/>
    <w:rsid w:val="00D15AB1"/>
    <w:rsid w:val="00D16345"/>
    <w:rsid w:val="00D16FE0"/>
    <w:rsid w:val="00D175EE"/>
    <w:rsid w:val="00D22644"/>
    <w:rsid w:val="00D22B96"/>
    <w:rsid w:val="00D22D5C"/>
    <w:rsid w:val="00D22FC3"/>
    <w:rsid w:val="00D241DB"/>
    <w:rsid w:val="00D24218"/>
    <w:rsid w:val="00D24A05"/>
    <w:rsid w:val="00D25828"/>
    <w:rsid w:val="00D25B0B"/>
    <w:rsid w:val="00D26335"/>
    <w:rsid w:val="00D264AA"/>
    <w:rsid w:val="00D274BE"/>
    <w:rsid w:val="00D27643"/>
    <w:rsid w:val="00D3012B"/>
    <w:rsid w:val="00D30325"/>
    <w:rsid w:val="00D31605"/>
    <w:rsid w:val="00D325BC"/>
    <w:rsid w:val="00D3383B"/>
    <w:rsid w:val="00D35F2D"/>
    <w:rsid w:val="00D3690F"/>
    <w:rsid w:val="00D400EB"/>
    <w:rsid w:val="00D4130B"/>
    <w:rsid w:val="00D42201"/>
    <w:rsid w:val="00D4220F"/>
    <w:rsid w:val="00D42EA6"/>
    <w:rsid w:val="00D42FAB"/>
    <w:rsid w:val="00D46051"/>
    <w:rsid w:val="00D47B70"/>
    <w:rsid w:val="00D47B89"/>
    <w:rsid w:val="00D502B5"/>
    <w:rsid w:val="00D502BC"/>
    <w:rsid w:val="00D503B5"/>
    <w:rsid w:val="00D51F4B"/>
    <w:rsid w:val="00D528E9"/>
    <w:rsid w:val="00D52F37"/>
    <w:rsid w:val="00D534D9"/>
    <w:rsid w:val="00D53B05"/>
    <w:rsid w:val="00D53DCF"/>
    <w:rsid w:val="00D5458B"/>
    <w:rsid w:val="00D5474E"/>
    <w:rsid w:val="00D54997"/>
    <w:rsid w:val="00D54B1D"/>
    <w:rsid w:val="00D551E9"/>
    <w:rsid w:val="00D56471"/>
    <w:rsid w:val="00D564BE"/>
    <w:rsid w:val="00D567EA"/>
    <w:rsid w:val="00D57D1E"/>
    <w:rsid w:val="00D60260"/>
    <w:rsid w:val="00D60EAF"/>
    <w:rsid w:val="00D61107"/>
    <w:rsid w:val="00D616B6"/>
    <w:rsid w:val="00D62555"/>
    <w:rsid w:val="00D628FB"/>
    <w:rsid w:val="00D64B18"/>
    <w:rsid w:val="00D64B40"/>
    <w:rsid w:val="00D662D3"/>
    <w:rsid w:val="00D67A93"/>
    <w:rsid w:val="00D7184A"/>
    <w:rsid w:val="00D71C62"/>
    <w:rsid w:val="00D7207A"/>
    <w:rsid w:val="00D72A80"/>
    <w:rsid w:val="00D72F86"/>
    <w:rsid w:val="00D7326E"/>
    <w:rsid w:val="00D73DC1"/>
    <w:rsid w:val="00D73F49"/>
    <w:rsid w:val="00D74548"/>
    <w:rsid w:val="00D745DF"/>
    <w:rsid w:val="00D74F57"/>
    <w:rsid w:val="00D75903"/>
    <w:rsid w:val="00D767A9"/>
    <w:rsid w:val="00D7688A"/>
    <w:rsid w:val="00D76EEB"/>
    <w:rsid w:val="00D7710F"/>
    <w:rsid w:val="00D77F13"/>
    <w:rsid w:val="00D8018C"/>
    <w:rsid w:val="00D80F50"/>
    <w:rsid w:val="00D82563"/>
    <w:rsid w:val="00D82953"/>
    <w:rsid w:val="00D82B6B"/>
    <w:rsid w:val="00D82DEB"/>
    <w:rsid w:val="00D8324C"/>
    <w:rsid w:val="00D83419"/>
    <w:rsid w:val="00D83A59"/>
    <w:rsid w:val="00D83D50"/>
    <w:rsid w:val="00D850A0"/>
    <w:rsid w:val="00D87B30"/>
    <w:rsid w:val="00D9049A"/>
    <w:rsid w:val="00D90977"/>
    <w:rsid w:val="00D90BDE"/>
    <w:rsid w:val="00D90DE9"/>
    <w:rsid w:val="00D92BCE"/>
    <w:rsid w:val="00D93125"/>
    <w:rsid w:val="00D9652D"/>
    <w:rsid w:val="00D967E9"/>
    <w:rsid w:val="00D968CE"/>
    <w:rsid w:val="00D9725B"/>
    <w:rsid w:val="00D9741A"/>
    <w:rsid w:val="00DA0C9A"/>
    <w:rsid w:val="00DA1246"/>
    <w:rsid w:val="00DA2F62"/>
    <w:rsid w:val="00DA31B1"/>
    <w:rsid w:val="00DA556E"/>
    <w:rsid w:val="00DA5F87"/>
    <w:rsid w:val="00DA6F15"/>
    <w:rsid w:val="00DB1A6A"/>
    <w:rsid w:val="00DB2C18"/>
    <w:rsid w:val="00DB2FEE"/>
    <w:rsid w:val="00DB320C"/>
    <w:rsid w:val="00DB3CF7"/>
    <w:rsid w:val="00DB45CA"/>
    <w:rsid w:val="00DB53A8"/>
    <w:rsid w:val="00DB541C"/>
    <w:rsid w:val="00DB56D1"/>
    <w:rsid w:val="00DB5A64"/>
    <w:rsid w:val="00DB609E"/>
    <w:rsid w:val="00DB6268"/>
    <w:rsid w:val="00DC036A"/>
    <w:rsid w:val="00DC0970"/>
    <w:rsid w:val="00DC0EBF"/>
    <w:rsid w:val="00DC0FF3"/>
    <w:rsid w:val="00DC2318"/>
    <w:rsid w:val="00DC4C92"/>
    <w:rsid w:val="00DC4EDA"/>
    <w:rsid w:val="00DC57C5"/>
    <w:rsid w:val="00DC5B1C"/>
    <w:rsid w:val="00DC684F"/>
    <w:rsid w:val="00DC7593"/>
    <w:rsid w:val="00DC7EBA"/>
    <w:rsid w:val="00DD0C1A"/>
    <w:rsid w:val="00DD16B2"/>
    <w:rsid w:val="00DD2CBE"/>
    <w:rsid w:val="00DD3522"/>
    <w:rsid w:val="00DD4C58"/>
    <w:rsid w:val="00DD5D92"/>
    <w:rsid w:val="00DD63B4"/>
    <w:rsid w:val="00DD67AA"/>
    <w:rsid w:val="00DD7E8D"/>
    <w:rsid w:val="00DE0B6C"/>
    <w:rsid w:val="00DE1E6F"/>
    <w:rsid w:val="00DE2B34"/>
    <w:rsid w:val="00DE31E9"/>
    <w:rsid w:val="00DE31EA"/>
    <w:rsid w:val="00DE358F"/>
    <w:rsid w:val="00DE36F5"/>
    <w:rsid w:val="00DE621A"/>
    <w:rsid w:val="00DF02E0"/>
    <w:rsid w:val="00DF06BF"/>
    <w:rsid w:val="00DF0F9E"/>
    <w:rsid w:val="00DF322F"/>
    <w:rsid w:val="00DF423B"/>
    <w:rsid w:val="00DF437F"/>
    <w:rsid w:val="00DF5591"/>
    <w:rsid w:val="00DF5ED5"/>
    <w:rsid w:val="00E006F2"/>
    <w:rsid w:val="00E02E83"/>
    <w:rsid w:val="00E03347"/>
    <w:rsid w:val="00E03CC3"/>
    <w:rsid w:val="00E053D1"/>
    <w:rsid w:val="00E058A3"/>
    <w:rsid w:val="00E058D6"/>
    <w:rsid w:val="00E06137"/>
    <w:rsid w:val="00E0697E"/>
    <w:rsid w:val="00E07990"/>
    <w:rsid w:val="00E11840"/>
    <w:rsid w:val="00E138C6"/>
    <w:rsid w:val="00E139BA"/>
    <w:rsid w:val="00E14CC0"/>
    <w:rsid w:val="00E158E2"/>
    <w:rsid w:val="00E16233"/>
    <w:rsid w:val="00E17692"/>
    <w:rsid w:val="00E179F4"/>
    <w:rsid w:val="00E17DB2"/>
    <w:rsid w:val="00E234B0"/>
    <w:rsid w:val="00E23AB7"/>
    <w:rsid w:val="00E24642"/>
    <w:rsid w:val="00E25DE2"/>
    <w:rsid w:val="00E26E11"/>
    <w:rsid w:val="00E31F38"/>
    <w:rsid w:val="00E322B0"/>
    <w:rsid w:val="00E33A3A"/>
    <w:rsid w:val="00E413CB"/>
    <w:rsid w:val="00E4150E"/>
    <w:rsid w:val="00E42BA4"/>
    <w:rsid w:val="00E4687A"/>
    <w:rsid w:val="00E46A79"/>
    <w:rsid w:val="00E472F0"/>
    <w:rsid w:val="00E47C9F"/>
    <w:rsid w:val="00E531FD"/>
    <w:rsid w:val="00E5419F"/>
    <w:rsid w:val="00E56AF2"/>
    <w:rsid w:val="00E57A55"/>
    <w:rsid w:val="00E60747"/>
    <w:rsid w:val="00E6194B"/>
    <w:rsid w:val="00E61BBD"/>
    <w:rsid w:val="00E62195"/>
    <w:rsid w:val="00E63207"/>
    <w:rsid w:val="00E63476"/>
    <w:rsid w:val="00E639F1"/>
    <w:rsid w:val="00E65EC6"/>
    <w:rsid w:val="00E700FF"/>
    <w:rsid w:val="00E7013F"/>
    <w:rsid w:val="00E71046"/>
    <w:rsid w:val="00E72F5A"/>
    <w:rsid w:val="00E73547"/>
    <w:rsid w:val="00E755F0"/>
    <w:rsid w:val="00E769A4"/>
    <w:rsid w:val="00E76EF0"/>
    <w:rsid w:val="00E802AD"/>
    <w:rsid w:val="00E80F7F"/>
    <w:rsid w:val="00E81793"/>
    <w:rsid w:val="00E8261D"/>
    <w:rsid w:val="00E82DF9"/>
    <w:rsid w:val="00E83926"/>
    <w:rsid w:val="00E85061"/>
    <w:rsid w:val="00E85887"/>
    <w:rsid w:val="00E87130"/>
    <w:rsid w:val="00E9078D"/>
    <w:rsid w:val="00E912A3"/>
    <w:rsid w:val="00E92E26"/>
    <w:rsid w:val="00E934FD"/>
    <w:rsid w:val="00E942D2"/>
    <w:rsid w:val="00E95301"/>
    <w:rsid w:val="00E95E2E"/>
    <w:rsid w:val="00E9664B"/>
    <w:rsid w:val="00E9677C"/>
    <w:rsid w:val="00EA08EF"/>
    <w:rsid w:val="00EA35AE"/>
    <w:rsid w:val="00EA38DF"/>
    <w:rsid w:val="00EA423F"/>
    <w:rsid w:val="00EA4A18"/>
    <w:rsid w:val="00EA5247"/>
    <w:rsid w:val="00EA6406"/>
    <w:rsid w:val="00EA6C04"/>
    <w:rsid w:val="00EA6E9E"/>
    <w:rsid w:val="00EA714E"/>
    <w:rsid w:val="00EA7BC2"/>
    <w:rsid w:val="00EB2125"/>
    <w:rsid w:val="00EB3E9A"/>
    <w:rsid w:val="00EB47EF"/>
    <w:rsid w:val="00EB4C13"/>
    <w:rsid w:val="00EB5370"/>
    <w:rsid w:val="00EB739C"/>
    <w:rsid w:val="00EB7709"/>
    <w:rsid w:val="00EC0C6F"/>
    <w:rsid w:val="00EC1A58"/>
    <w:rsid w:val="00EC2709"/>
    <w:rsid w:val="00EC4E9E"/>
    <w:rsid w:val="00EC73B2"/>
    <w:rsid w:val="00EC7A77"/>
    <w:rsid w:val="00EC7BC5"/>
    <w:rsid w:val="00ED1213"/>
    <w:rsid w:val="00ED1AE0"/>
    <w:rsid w:val="00ED1EA6"/>
    <w:rsid w:val="00ED296A"/>
    <w:rsid w:val="00ED454B"/>
    <w:rsid w:val="00ED4E9C"/>
    <w:rsid w:val="00ED539B"/>
    <w:rsid w:val="00ED5BC7"/>
    <w:rsid w:val="00ED7C59"/>
    <w:rsid w:val="00ED7DC7"/>
    <w:rsid w:val="00EE026D"/>
    <w:rsid w:val="00EE1467"/>
    <w:rsid w:val="00EE287E"/>
    <w:rsid w:val="00EE3F2F"/>
    <w:rsid w:val="00EE50A3"/>
    <w:rsid w:val="00EE6361"/>
    <w:rsid w:val="00EF06CD"/>
    <w:rsid w:val="00EF1311"/>
    <w:rsid w:val="00EF1F73"/>
    <w:rsid w:val="00EF2AC1"/>
    <w:rsid w:val="00EF4087"/>
    <w:rsid w:val="00EF415C"/>
    <w:rsid w:val="00EF4317"/>
    <w:rsid w:val="00EF49BB"/>
    <w:rsid w:val="00EF5367"/>
    <w:rsid w:val="00EF5D19"/>
    <w:rsid w:val="00EF792C"/>
    <w:rsid w:val="00F00078"/>
    <w:rsid w:val="00F0101F"/>
    <w:rsid w:val="00F014A6"/>
    <w:rsid w:val="00F020D8"/>
    <w:rsid w:val="00F03465"/>
    <w:rsid w:val="00F039F6"/>
    <w:rsid w:val="00F03A26"/>
    <w:rsid w:val="00F041CE"/>
    <w:rsid w:val="00F041E0"/>
    <w:rsid w:val="00F052F1"/>
    <w:rsid w:val="00F05345"/>
    <w:rsid w:val="00F05B41"/>
    <w:rsid w:val="00F0693E"/>
    <w:rsid w:val="00F07DEA"/>
    <w:rsid w:val="00F10D70"/>
    <w:rsid w:val="00F11158"/>
    <w:rsid w:val="00F1478F"/>
    <w:rsid w:val="00F147B2"/>
    <w:rsid w:val="00F15066"/>
    <w:rsid w:val="00F157D2"/>
    <w:rsid w:val="00F17D4A"/>
    <w:rsid w:val="00F2024F"/>
    <w:rsid w:val="00F219A5"/>
    <w:rsid w:val="00F22C36"/>
    <w:rsid w:val="00F22E4B"/>
    <w:rsid w:val="00F230F4"/>
    <w:rsid w:val="00F23433"/>
    <w:rsid w:val="00F23490"/>
    <w:rsid w:val="00F24DE8"/>
    <w:rsid w:val="00F2541C"/>
    <w:rsid w:val="00F25EC3"/>
    <w:rsid w:val="00F2616C"/>
    <w:rsid w:val="00F26C37"/>
    <w:rsid w:val="00F314FA"/>
    <w:rsid w:val="00F31ED1"/>
    <w:rsid w:val="00F32EB3"/>
    <w:rsid w:val="00F40FDE"/>
    <w:rsid w:val="00F415B1"/>
    <w:rsid w:val="00F42341"/>
    <w:rsid w:val="00F45E65"/>
    <w:rsid w:val="00F461CE"/>
    <w:rsid w:val="00F46832"/>
    <w:rsid w:val="00F47115"/>
    <w:rsid w:val="00F47291"/>
    <w:rsid w:val="00F50525"/>
    <w:rsid w:val="00F50557"/>
    <w:rsid w:val="00F50BA9"/>
    <w:rsid w:val="00F50F2F"/>
    <w:rsid w:val="00F52658"/>
    <w:rsid w:val="00F53D17"/>
    <w:rsid w:val="00F54445"/>
    <w:rsid w:val="00F552A9"/>
    <w:rsid w:val="00F5628B"/>
    <w:rsid w:val="00F56688"/>
    <w:rsid w:val="00F572B1"/>
    <w:rsid w:val="00F60448"/>
    <w:rsid w:val="00F60B18"/>
    <w:rsid w:val="00F611B3"/>
    <w:rsid w:val="00F636F0"/>
    <w:rsid w:val="00F63AAF"/>
    <w:rsid w:val="00F63E0A"/>
    <w:rsid w:val="00F644DD"/>
    <w:rsid w:val="00F7096E"/>
    <w:rsid w:val="00F70E8F"/>
    <w:rsid w:val="00F71D06"/>
    <w:rsid w:val="00F741E3"/>
    <w:rsid w:val="00F75C54"/>
    <w:rsid w:val="00F800B7"/>
    <w:rsid w:val="00F80AE7"/>
    <w:rsid w:val="00F83DF2"/>
    <w:rsid w:val="00F84195"/>
    <w:rsid w:val="00F843F8"/>
    <w:rsid w:val="00F84665"/>
    <w:rsid w:val="00F8482C"/>
    <w:rsid w:val="00F84D5C"/>
    <w:rsid w:val="00F86280"/>
    <w:rsid w:val="00F87824"/>
    <w:rsid w:val="00F878F0"/>
    <w:rsid w:val="00F90852"/>
    <w:rsid w:val="00F910A7"/>
    <w:rsid w:val="00F916B8"/>
    <w:rsid w:val="00F91D1B"/>
    <w:rsid w:val="00F91DF7"/>
    <w:rsid w:val="00F92634"/>
    <w:rsid w:val="00F92683"/>
    <w:rsid w:val="00F950EB"/>
    <w:rsid w:val="00F953AE"/>
    <w:rsid w:val="00F9545A"/>
    <w:rsid w:val="00F956C9"/>
    <w:rsid w:val="00F96B84"/>
    <w:rsid w:val="00F96F5A"/>
    <w:rsid w:val="00FA04F1"/>
    <w:rsid w:val="00FA59DD"/>
    <w:rsid w:val="00FA6372"/>
    <w:rsid w:val="00FA669F"/>
    <w:rsid w:val="00FA7771"/>
    <w:rsid w:val="00FB167D"/>
    <w:rsid w:val="00FB1C2E"/>
    <w:rsid w:val="00FB3165"/>
    <w:rsid w:val="00FB457A"/>
    <w:rsid w:val="00FB4D45"/>
    <w:rsid w:val="00FB673B"/>
    <w:rsid w:val="00FB6BCD"/>
    <w:rsid w:val="00FB74E8"/>
    <w:rsid w:val="00FC02D7"/>
    <w:rsid w:val="00FC04DE"/>
    <w:rsid w:val="00FC22A4"/>
    <w:rsid w:val="00FC29BF"/>
    <w:rsid w:val="00FC41FF"/>
    <w:rsid w:val="00FC421C"/>
    <w:rsid w:val="00FC4791"/>
    <w:rsid w:val="00FC4BFE"/>
    <w:rsid w:val="00FC5E8A"/>
    <w:rsid w:val="00FC75C9"/>
    <w:rsid w:val="00FD0159"/>
    <w:rsid w:val="00FD0BBA"/>
    <w:rsid w:val="00FD20E1"/>
    <w:rsid w:val="00FD21FE"/>
    <w:rsid w:val="00FD2818"/>
    <w:rsid w:val="00FD492E"/>
    <w:rsid w:val="00FD4A30"/>
    <w:rsid w:val="00FD5808"/>
    <w:rsid w:val="00FD625A"/>
    <w:rsid w:val="00FD6382"/>
    <w:rsid w:val="00FD74CE"/>
    <w:rsid w:val="00FE0E81"/>
    <w:rsid w:val="00FE274F"/>
    <w:rsid w:val="00FE3004"/>
    <w:rsid w:val="00FE32AF"/>
    <w:rsid w:val="00FE3860"/>
    <w:rsid w:val="00FE3CF4"/>
    <w:rsid w:val="00FE62ED"/>
    <w:rsid w:val="00FE6A1E"/>
    <w:rsid w:val="00FE6B2A"/>
    <w:rsid w:val="00FE7F66"/>
    <w:rsid w:val="00FF0343"/>
    <w:rsid w:val="00FF0CF7"/>
    <w:rsid w:val="00FF1F8D"/>
    <w:rsid w:val="00FF40BB"/>
    <w:rsid w:val="00FF5CED"/>
    <w:rsid w:val="00FF6C21"/>
    <w:rsid w:val="00FF7300"/>
    <w:rsid w:val="00FF735B"/>
    <w:rsid w:val="10AA6320"/>
    <w:rsid w:val="11371EB2"/>
    <w:rsid w:val="13F87F65"/>
    <w:rsid w:val="16403D14"/>
    <w:rsid w:val="1AB62E42"/>
    <w:rsid w:val="1EAE6B1B"/>
    <w:rsid w:val="1FE96C05"/>
    <w:rsid w:val="20993295"/>
    <w:rsid w:val="245E5C2D"/>
    <w:rsid w:val="2505206D"/>
    <w:rsid w:val="29835F6F"/>
    <w:rsid w:val="2B267FF5"/>
    <w:rsid w:val="2B480CCE"/>
    <w:rsid w:val="356B2981"/>
    <w:rsid w:val="368E0EC0"/>
    <w:rsid w:val="385915E9"/>
    <w:rsid w:val="3B022FF2"/>
    <w:rsid w:val="3CC263B1"/>
    <w:rsid w:val="4B2460E9"/>
    <w:rsid w:val="5385202A"/>
    <w:rsid w:val="584537D1"/>
    <w:rsid w:val="63EC3F27"/>
    <w:rsid w:val="78B64593"/>
    <w:rsid w:val="7A7E7DE8"/>
    <w:rsid w:val="7A8C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jc w:val="center"/>
      <w:outlineLvl w:val="0"/>
    </w:pPr>
    <w:rPr>
      <w:rFonts w:eastAsia="华文行楷"/>
      <w:kern w:val="44"/>
      <w:sz w:val="44"/>
      <w:szCs w:val="20"/>
    </w:rPr>
  </w:style>
  <w:style w:type="paragraph" w:styleId="3">
    <w:name w:val="heading 2"/>
    <w:basedOn w:val="1"/>
    <w:next w:val="1"/>
    <w:link w:val="15"/>
    <w:qFormat/>
    <w:uiPriority w:val="99"/>
    <w:pPr>
      <w:keepNext/>
      <w:keepLines/>
      <w:spacing w:line="360" w:lineRule="auto"/>
      <w:jc w:val="center"/>
      <w:outlineLvl w:val="1"/>
    </w:pPr>
    <w:rPr>
      <w:rFonts w:ascii="Cambria" w:hAnsi="Cambria"/>
      <w:b/>
      <w:bCs/>
      <w:sz w:val="32"/>
      <w:szCs w:val="32"/>
    </w:rPr>
  </w:style>
  <w:style w:type="paragraph" w:styleId="4">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8"/>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5"/>
    <w:next w:val="5"/>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basedOn w:val="13"/>
    <w:semiHidden/>
    <w:unhideWhenUsed/>
    <w:qFormat/>
    <w:uiPriority w:val="99"/>
    <w:rPr>
      <w:sz w:val="21"/>
      <w:szCs w:val="21"/>
    </w:rPr>
  </w:style>
  <w:style w:type="character" w:customStyle="1" w:styleId="15">
    <w:name w:val="标题 2 Char"/>
    <w:basedOn w:val="13"/>
    <w:link w:val="3"/>
    <w:qFormat/>
    <w:uiPriority w:val="99"/>
    <w:rPr>
      <w:rFonts w:ascii="Cambria" w:hAnsi="Cambria" w:eastAsia="宋体" w:cs="Times New Roman"/>
      <w:b/>
      <w:bCs/>
      <w:sz w:val="32"/>
      <w:szCs w:val="32"/>
    </w:rPr>
  </w:style>
  <w:style w:type="character" w:customStyle="1" w:styleId="16">
    <w:name w:val="标题 1 Char"/>
    <w:basedOn w:val="13"/>
    <w:link w:val="2"/>
    <w:qFormat/>
    <w:uiPriority w:val="0"/>
    <w:rPr>
      <w:rFonts w:ascii="Times New Roman" w:hAnsi="Times New Roman" w:eastAsia="华文行楷" w:cs="Times New Roman"/>
      <w:kern w:val="44"/>
      <w:sz w:val="44"/>
      <w:szCs w:val="20"/>
    </w:rPr>
  </w:style>
  <w:style w:type="paragraph" w:customStyle="1" w:styleId="17">
    <w:name w:val="Default"/>
    <w:qFormat/>
    <w:uiPriority w:val="0"/>
    <w:pPr>
      <w:autoSpaceDE w:val="0"/>
      <w:autoSpaceDN w:val="0"/>
      <w:adjustRightInd w:val="0"/>
    </w:pPr>
    <w:rPr>
      <w:rFonts w:ascii="Georgia" w:hAnsi="Georgia" w:eastAsia="宋体" w:cs="Georgia"/>
      <w:color w:val="000000"/>
      <w:sz w:val="24"/>
      <w:szCs w:val="24"/>
      <w:lang w:val="en-US" w:eastAsia="zh-CN" w:bidi="ar-SA"/>
    </w:rPr>
  </w:style>
  <w:style w:type="character" w:customStyle="1" w:styleId="18">
    <w:name w:val="批注文字 Char"/>
    <w:basedOn w:val="13"/>
    <w:link w:val="5"/>
    <w:semiHidden/>
    <w:qFormat/>
    <w:uiPriority w:val="99"/>
    <w:rPr>
      <w:rFonts w:ascii="Times New Roman" w:hAnsi="Times New Roman" w:eastAsia="宋体" w:cs="Times New Roman"/>
      <w:szCs w:val="24"/>
    </w:rPr>
  </w:style>
  <w:style w:type="character" w:customStyle="1" w:styleId="19">
    <w:name w:val="批注主题 Char"/>
    <w:basedOn w:val="18"/>
    <w:link w:val="10"/>
    <w:semiHidden/>
    <w:qFormat/>
    <w:uiPriority w:val="99"/>
    <w:rPr>
      <w:rFonts w:ascii="Times New Roman" w:hAnsi="Times New Roman" w:eastAsia="宋体" w:cs="Times New Roman"/>
      <w:b/>
      <w:bCs/>
      <w:szCs w:val="24"/>
    </w:rPr>
  </w:style>
  <w:style w:type="character" w:customStyle="1" w:styleId="20">
    <w:name w:val="批注框文本 Char"/>
    <w:basedOn w:val="13"/>
    <w:link w:val="6"/>
    <w:semiHidden/>
    <w:qFormat/>
    <w:uiPriority w:val="99"/>
    <w:rPr>
      <w:rFonts w:ascii="Times New Roman" w:hAnsi="Times New Roman" w:eastAsia="宋体" w:cs="Times New Roman"/>
      <w:sz w:val="18"/>
      <w:szCs w:val="18"/>
    </w:rPr>
  </w:style>
  <w:style w:type="character" w:customStyle="1" w:styleId="21">
    <w:name w:val="页眉 Char"/>
    <w:basedOn w:val="13"/>
    <w:link w:val="8"/>
    <w:qFormat/>
    <w:uiPriority w:val="99"/>
    <w:rPr>
      <w:rFonts w:ascii="Times New Roman" w:hAnsi="Times New Roman" w:eastAsia="宋体" w:cs="Times New Roman"/>
      <w:sz w:val="18"/>
      <w:szCs w:val="18"/>
    </w:rPr>
  </w:style>
  <w:style w:type="character" w:customStyle="1" w:styleId="22">
    <w:name w:val="页脚 Char"/>
    <w:basedOn w:val="13"/>
    <w:link w:val="7"/>
    <w:qFormat/>
    <w:uiPriority w:val="99"/>
    <w:rPr>
      <w:rFonts w:ascii="Times New Roman" w:hAnsi="Times New Roman" w:eastAsia="宋体" w:cs="Times New Roman"/>
      <w:sz w:val="18"/>
      <w:szCs w:val="18"/>
    </w:rPr>
  </w:style>
  <w:style w:type="paragraph" w:customStyle="1" w:styleId="23">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99"/>
    <w:pPr>
      <w:ind w:firstLine="420" w:firstLineChars="200"/>
    </w:pPr>
  </w:style>
  <w:style w:type="character" w:customStyle="1" w:styleId="25">
    <w:name w:val="标题 4 Char"/>
    <w:basedOn w:val="13"/>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31921-C58A-4924-B49A-13E00F8FD056}">
  <ds:schemaRefs/>
</ds:datastoreItem>
</file>

<file path=docProps/app.xml><?xml version="1.0" encoding="utf-8"?>
<Properties xmlns="http://schemas.openxmlformats.org/officeDocument/2006/extended-properties" xmlns:vt="http://schemas.openxmlformats.org/officeDocument/2006/docPropsVTypes">
  <Template>Normal</Template>
  <Pages>6</Pages>
  <Words>748</Words>
  <Characters>4268</Characters>
  <Lines>35</Lines>
  <Paragraphs>10</Paragraphs>
  <TotalTime>12</TotalTime>
  <ScaleCrop>false</ScaleCrop>
  <LinksUpToDate>false</LinksUpToDate>
  <CharactersWithSpaces>5006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2020-04-06T05:17:00Z</dcterms:created>
  <dc:creator>刘明旭</dc:creator>
  <cp:lastModifiedBy>清秋孤客</cp:lastModifiedBy>
  <cp:lastPrinted>2021-06-21T01:42:00Z</cp:lastPrinted>
  <dcterms:modified xsi:type="dcterms:W3CDTF">2021-06-22T09:49:04Z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y fmtid="{D5CDD505-2E9C-101B-9397-08002B2CF9AE}" pid="3" name="ICV">
    <vt:lpwstr>5B540B7B873042D9B43889EE678E4AC2</vt:lpwstr>
  </property>
</Properties>
</file>